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28"/>
        </w:rPr>
      </w:pPr>
      <w:r>
        <w:rPr>
          <w:rFonts w:hint="eastAsia"/>
          <w:b/>
          <w:bCs/>
          <w:sz w:val="32"/>
          <w:szCs w:val="28"/>
        </w:rPr>
        <w:t>上海海事大学研究生学位授予成果要求</w:t>
      </w:r>
    </w:p>
    <w:p>
      <w:pPr>
        <w:jc w:val="center"/>
        <w:rPr>
          <w:rFonts w:hint="eastAsia"/>
          <w:lang w:eastAsia="zh-CN"/>
        </w:rPr>
      </w:pPr>
      <w:r>
        <w:rPr>
          <w:rFonts w:hint="eastAsia"/>
          <w:b/>
          <w:bCs/>
          <w:sz w:val="28"/>
          <w:szCs w:val="28"/>
        </w:rPr>
        <w:t>（</w:t>
      </w:r>
      <w:r>
        <w:rPr>
          <w:rFonts w:hint="eastAsia"/>
          <w:b/>
          <w:bCs/>
          <w:sz w:val="28"/>
          <w:szCs w:val="28"/>
          <w:lang w:val="en-US" w:eastAsia="zh-CN"/>
        </w:rPr>
        <w:t>2018年9月</w:t>
      </w:r>
      <w:r>
        <w:rPr>
          <w:rFonts w:hint="eastAsia"/>
          <w:b/>
          <w:bCs/>
          <w:sz w:val="28"/>
          <w:szCs w:val="28"/>
          <w:lang w:eastAsia="zh-CN"/>
        </w:rPr>
        <w:t>）</w:t>
      </w:r>
      <w:bookmarkStart w:id="0" w:name="_GoBack"/>
      <w:bookmarkEnd w:id="0"/>
    </w:p>
    <w:p>
      <w:pPr>
        <w:spacing w:line="440" w:lineRule="exact"/>
        <w:ind w:firstLine="420"/>
        <w:rPr>
          <w:color w:val="000000" w:themeColor="text1"/>
          <w:sz w:val="24"/>
        </w:rPr>
      </w:pPr>
      <w:r>
        <w:rPr>
          <w:rFonts w:hint="eastAsia"/>
          <w:color w:val="000000" w:themeColor="text1"/>
          <w:sz w:val="24"/>
        </w:rPr>
        <w:t xml:space="preserve"> 为全面贯彻国家教育部、上海市教委等相关文件精神，落实我校“十三五”研究生教育发展规划和综合改革方案，适应学校研究生教育发展需要，提高研究生教育水平和学位授予质量，促进学校学科的建设和发展，对研究生学位授予中博士生、硕士生成果要求做出如下规定。</w:t>
      </w:r>
    </w:p>
    <w:p>
      <w:pPr>
        <w:spacing w:line="440" w:lineRule="exact"/>
        <w:ind w:firstLine="420"/>
        <w:rPr>
          <w:sz w:val="24"/>
        </w:rPr>
      </w:pPr>
    </w:p>
    <w:p>
      <w:pPr>
        <w:numPr>
          <w:ilvl w:val="0"/>
          <w:numId w:val="1"/>
        </w:numPr>
        <w:spacing w:line="440" w:lineRule="exact"/>
        <w:rPr>
          <w:b/>
          <w:bCs/>
          <w:sz w:val="28"/>
        </w:rPr>
      </w:pPr>
      <w:r>
        <w:rPr>
          <w:rFonts w:hint="eastAsia"/>
          <w:b/>
          <w:bCs/>
          <w:sz w:val="28"/>
        </w:rPr>
        <w:t>成果计分标准</w:t>
      </w:r>
    </w:p>
    <w:p>
      <w:pPr>
        <w:spacing w:line="440" w:lineRule="exact"/>
        <w:rPr>
          <w:sz w:val="24"/>
        </w:rPr>
      </w:pPr>
      <w:r>
        <w:rPr>
          <w:rFonts w:hint="eastAsia"/>
          <w:sz w:val="24"/>
        </w:rPr>
        <w:t xml:space="preserve">    </w:t>
      </w:r>
    </w:p>
    <w:p>
      <w:pPr>
        <w:spacing w:line="440" w:lineRule="exact"/>
        <w:rPr>
          <w:sz w:val="24"/>
        </w:rPr>
      </w:pPr>
      <w:r>
        <w:rPr>
          <w:rFonts w:hint="eastAsia"/>
          <w:sz w:val="24"/>
        </w:rPr>
        <w:t xml:space="preserve">    成果计算采用记分制，以“分”为统计单位。若一项成果符合多项计分标准，取最大分值计分。列入统计范围的成果必须满足以下条件：</w:t>
      </w:r>
    </w:p>
    <w:p>
      <w:pPr>
        <w:spacing w:line="440" w:lineRule="exact"/>
        <w:rPr>
          <w:color w:val="000000" w:themeColor="text1"/>
          <w:sz w:val="24"/>
        </w:rPr>
      </w:pPr>
      <w:r>
        <w:rPr>
          <w:rFonts w:hint="eastAsia"/>
          <w:sz w:val="24"/>
        </w:rPr>
        <w:t>1、以“上海海事大学”为第一署名单位且研究生为第一作者，或者研究生为第二作者，</w:t>
      </w:r>
      <w:r>
        <w:rPr>
          <w:rFonts w:hint="eastAsia"/>
          <w:color w:val="000000" w:themeColor="text1"/>
          <w:sz w:val="24"/>
        </w:rPr>
        <w:t>且</w:t>
      </w:r>
      <w:r>
        <w:rPr>
          <w:rFonts w:hint="eastAsia"/>
          <w:sz w:val="24"/>
        </w:rPr>
        <w:t>导师（含第二导师）是</w:t>
      </w:r>
      <w:r>
        <w:rPr>
          <w:rFonts w:hint="eastAsia"/>
          <w:color w:val="000000" w:themeColor="text1"/>
          <w:sz w:val="24"/>
        </w:rPr>
        <w:t>第一作者；</w:t>
      </w:r>
    </w:p>
    <w:p>
      <w:pPr>
        <w:spacing w:line="440" w:lineRule="exact"/>
        <w:rPr>
          <w:sz w:val="24"/>
        </w:rPr>
      </w:pPr>
      <w:r>
        <w:rPr>
          <w:rFonts w:hint="eastAsia"/>
          <w:sz w:val="24"/>
        </w:rPr>
        <w:t>2、所有成果须是研究生在学期间，即从入学之日起到学位论文答辩工作启动前所获得。</w:t>
      </w:r>
    </w:p>
    <w:p>
      <w:pPr>
        <w:spacing w:line="440" w:lineRule="exact"/>
        <w:rPr>
          <w:sz w:val="24"/>
        </w:rPr>
      </w:pPr>
    </w:p>
    <w:p>
      <w:pPr>
        <w:spacing w:line="440" w:lineRule="exact"/>
        <w:rPr>
          <w:rFonts w:hint="eastAsia"/>
          <w:b/>
          <w:sz w:val="24"/>
        </w:rPr>
      </w:pPr>
      <w:r>
        <w:rPr>
          <w:rFonts w:hint="eastAsia"/>
          <w:b/>
          <w:sz w:val="24"/>
        </w:rPr>
        <w:t>（一）学术论文计分标准（单位：分/篇）</w:t>
      </w:r>
    </w:p>
    <w:tbl>
      <w:tblPr>
        <w:tblStyle w:val="10"/>
        <w:tblpPr w:leftFromText="180" w:rightFromText="180" w:vertAnchor="text" w:horzAnchor="page" w:tblpX="1148" w:tblpY="184"/>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0"/>
        <w:gridCol w:w="718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jc w:val="center"/>
            </w:pPr>
            <w:r>
              <w:rPr>
                <w:rFonts w:hint="eastAsia"/>
              </w:rPr>
              <w:t>成果种类</w:t>
            </w:r>
          </w:p>
        </w:tc>
        <w:tc>
          <w:tcPr>
            <w:tcW w:w="7635" w:type="dxa"/>
            <w:gridSpan w:val="2"/>
          </w:tcPr>
          <w:p>
            <w:pPr>
              <w:jc w:val="center"/>
            </w:pPr>
            <w:r>
              <w:rPr>
                <w:rFonts w:hint="eastAsia"/>
              </w:rPr>
              <w:t>成果范畴</w:t>
            </w:r>
          </w:p>
        </w:tc>
        <w:tc>
          <w:tcPr>
            <w:tcW w:w="1065" w:type="dxa"/>
          </w:tcPr>
          <w:p>
            <w:pPr>
              <w:jc w:val="center"/>
            </w:pPr>
            <w:r>
              <w:rPr>
                <w:rFonts w:hint="eastAsia"/>
              </w:rPr>
              <w:t>单篇分值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restart"/>
            <w:vAlign w:val="center"/>
          </w:tcPr>
          <w:p>
            <w:pPr>
              <w:jc w:val="center"/>
            </w:pPr>
            <w:r>
              <w:rPr>
                <w:rFonts w:hint="eastAsia"/>
              </w:rPr>
              <w:t>学术论文</w:t>
            </w:r>
          </w:p>
        </w:tc>
        <w:tc>
          <w:tcPr>
            <w:tcW w:w="450" w:type="dxa"/>
            <w:vMerge w:val="restart"/>
            <w:vAlign w:val="center"/>
          </w:tcPr>
          <w:p>
            <w:pPr>
              <w:jc w:val="center"/>
            </w:pPr>
            <w:r>
              <w:rPr>
                <w:rFonts w:hint="eastAsia"/>
              </w:rPr>
              <w:t>A类</w:t>
            </w:r>
          </w:p>
        </w:tc>
        <w:tc>
          <w:tcPr>
            <w:tcW w:w="7185" w:type="dxa"/>
          </w:tcPr>
          <w:p>
            <w:r>
              <w:rPr>
                <w:rFonts w:hint="eastAsia"/>
              </w:rPr>
              <w:t>A0：SCI，SSCI高被引或者热点论文</w:t>
            </w:r>
          </w:p>
        </w:tc>
        <w:tc>
          <w:tcPr>
            <w:tcW w:w="1065" w:type="dxa"/>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continue"/>
          </w:tcPr>
          <w:p/>
        </w:tc>
        <w:tc>
          <w:tcPr>
            <w:tcW w:w="7185" w:type="dxa"/>
          </w:tcPr>
          <w:p>
            <w:r>
              <w:rPr>
                <w:rFonts w:hint="eastAsia"/>
              </w:rPr>
              <w:t>A1：SCI，SSCI一区论文；中国社会科学（中文版）；UT/DALLAS界定的24种期刊</w:t>
            </w:r>
          </w:p>
        </w:tc>
        <w:tc>
          <w:tcPr>
            <w:tcW w:w="1065"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continue"/>
          </w:tcPr>
          <w:p/>
        </w:tc>
        <w:tc>
          <w:tcPr>
            <w:tcW w:w="7185" w:type="dxa"/>
          </w:tcPr>
          <w:p>
            <w:r>
              <w:rPr>
                <w:rFonts w:hint="eastAsia"/>
              </w:rPr>
              <w:t>A2：SCI，SSCI二区论文</w:t>
            </w:r>
          </w:p>
        </w:tc>
        <w:tc>
          <w:tcPr>
            <w:tcW w:w="1065" w:type="dxa"/>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continue"/>
          </w:tcPr>
          <w:p/>
        </w:tc>
        <w:tc>
          <w:tcPr>
            <w:tcW w:w="7185" w:type="dxa"/>
          </w:tcPr>
          <w:p>
            <w:r>
              <w:rPr>
                <w:rFonts w:hint="eastAsia"/>
              </w:rPr>
              <w:t>A3：SCI，SSCI三区论文；中国社会科学（外文版）</w:t>
            </w:r>
          </w:p>
        </w:tc>
        <w:tc>
          <w:tcPr>
            <w:tcW w:w="1065" w:type="dxa"/>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continue"/>
          </w:tcPr>
          <w:p/>
        </w:tc>
        <w:tc>
          <w:tcPr>
            <w:tcW w:w="7185" w:type="dxa"/>
          </w:tcPr>
          <w:p>
            <w:r>
              <w:rPr>
                <w:rFonts w:hint="eastAsia"/>
              </w:rPr>
              <w:t>A4：SCI，SSCI四区论文；CSSCI各学科排名前3的期刊；主要内容被《新华文摘》转载的（不含论文摘编）学术论文；被A&amp;HCI（艺术人文科学引文索引）检索的期刊论文</w:t>
            </w:r>
          </w:p>
        </w:tc>
        <w:tc>
          <w:tcPr>
            <w:tcW w:w="1065"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Align w:val="center"/>
          </w:tcPr>
          <w:p>
            <w:pPr>
              <w:jc w:val="center"/>
            </w:pPr>
            <w:r>
              <w:rPr>
                <w:rFonts w:hint="eastAsia"/>
              </w:rPr>
              <w:t>B类</w:t>
            </w:r>
          </w:p>
        </w:tc>
        <w:tc>
          <w:tcPr>
            <w:tcW w:w="7185" w:type="dxa"/>
            <w:vAlign w:val="center"/>
          </w:tcPr>
          <w:p>
            <w:r>
              <w:rPr>
                <w:rFonts w:hint="eastAsia"/>
              </w:rPr>
              <w:t>被EI检索的期刊论文；CSSCI各学科排名前4-8的期刊</w:t>
            </w:r>
          </w:p>
        </w:tc>
        <w:tc>
          <w:tcPr>
            <w:tcW w:w="1065" w:type="dxa"/>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restart"/>
            <w:vAlign w:val="center"/>
          </w:tcPr>
          <w:p>
            <w:pPr>
              <w:jc w:val="center"/>
            </w:pPr>
            <w:r>
              <w:rPr>
                <w:rFonts w:hint="eastAsia"/>
              </w:rPr>
              <w:t>C类</w:t>
            </w:r>
          </w:p>
        </w:tc>
        <w:tc>
          <w:tcPr>
            <w:tcW w:w="7185" w:type="dxa"/>
          </w:tcPr>
          <w:p>
            <w:r>
              <w:rPr>
                <w:rFonts w:hint="eastAsia"/>
              </w:rPr>
              <w:t>C1：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pPr>
              <w:jc w:val="cente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Merge w:val="continue"/>
            <w:vAlign w:val="center"/>
          </w:tcPr>
          <w:p>
            <w:pPr>
              <w:jc w:val="center"/>
            </w:pPr>
          </w:p>
        </w:tc>
        <w:tc>
          <w:tcPr>
            <w:tcW w:w="7185" w:type="dxa"/>
          </w:tcPr>
          <w:p>
            <w:r>
              <w:rPr>
                <w:rFonts w:hint="eastAsia"/>
              </w:rPr>
              <w:t>C2：除A、B二类期刊外，中文权威期刊上发表的论文；《人大复印资料》全文转载的学术论文</w:t>
            </w:r>
          </w:p>
        </w:tc>
        <w:tc>
          <w:tcPr>
            <w:tcW w:w="1065" w:type="dxa"/>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Align w:val="center"/>
          </w:tcPr>
          <w:p>
            <w:pPr>
              <w:jc w:val="center"/>
            </w:pPr>
            <w:r>
              <w:rPr>
                <w:rFonts w:hint="eastAsia"/>
              </w:rPr>
              <w:t>D类</w:t>
            </w:r>
          </w:p>
        </w:tc>
        <w:tc>
          <w:tcPr>
            <w:tcW w:w="7185" w:type="dxa"/>
          </w:tcPr>
          <w:p>
            <w:r>
              <w:rPr>
                <w:rFonts w:hint="eastAsia"/>
              </w:rPr>
              <w:t>被SCI、SCIE检索的会议论文；《上海海事大学学报》上发表的论文；《中国社会科学引文索引》（CSSCI）扩展版来源期刊；《中国科学引文数据库》的扩展库目录期刊</w:t>
            </w:r>
            <w:r>
              <w:rPr>
                <w:rFonts w:hint="eastAsia"/>
                <w:lang w:eastAsia="zh-CN"/>
              </w:rPr>
              <w:t>；国外正式出版的外文期刊论文</w:t>
            </w:r>
          </w:p>
        </w:tc>
        <w:tc>
          <w:tcPr>
            <w:tcW w:w="1065"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vMerge w:val="continue"/>
          </w:tcPr>
          <w:p/>
        </w:tc>
        <w:tc>
          <w:tcPr>
            <w:tcW w:w="450" w:type="dxa"/>
            <w:vAlign w:val="center"/>
          </w:tcPr>
          <w:p>
            <w:pPr>
              <w:jc w:val="center"/>
            </w:pPr>
            <w:r>
              <w:rPr>
                <w:rFonts w:hint="eastAsia"/>
              </w:rPr>
              <w:t>E类</w:t>
            </w:r>
          </w:p>
        </w:tc>
        <w:tc>
          <w:tcPr>
            <w:tcW w:w="7185" w:type="dxa"/>
            <w:vAlign w:val="center"/>
          </w:tcPr>
          <w:p>
            <w:pPr>
              <w:rPr>
                <w:color w:val="000000" w:themeColor="text1"/>
              </w:rPr>
            </w:pPr>
            <w:r>
              <w:rPr>
                <w:rFonts w:hint="eastAsia"/>
                <w:color w:val="000000" w:themeColor="text1"/>
              </w:rPr>
              <w:t>《中文核心期刊要目总览》期刊</w:t>
            </w:r>
          </w:p>
        </w:tc>
        <w:tc>
          <w:tcPr>
            <w:tcW w:w="1065" w:type="dxa"/>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Align w:val="center"/>
          </w:tcPr>
          <w:p>
            <w:pPr>
              <w:jc w:val="center"/>
            </w:pPr>
            <w:r>
              <w:rPr>
                <w:rFonts w:hint="eastAsia"/>
              </w:rPr>
              <w:t>F类</w:t>
            </w:r>
          </w:p>
        </w:tc>
        <w:tc>
          <w:tcPr>
            <w:tcW w:w="7185" w:type="dxa"/>
            <w:vAlign w:val="center"/>
          </w:tcPr>
          <w:p>
            <w:pPr>
              <w:rPr>
                <w:color w:val="000000" w:themeColor="text1"/>
              </w:rPr>
            </w:pPr>
            <w:r>
              <w:rPr>
                <w:rFonts w:hint="eastAsia"/>
                <w:color w:val="000000" w:themeColor="text1"/>
              </w:rPr>
              <w:t>被EI、ISTP、ISSHP检索的外文会议论文</w:t>
            </w:r>
          </w:p>
        </w:tc>
        <w:tc>
          <w:tcPr>
            <w:tcW w:w="1065" w:type="dxa"/>
            <w:vAlign w:val="center"/>
          </w:tcPr>
          <w:p>
            <w:pPr>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tcPr>
          <w:p/>
        </w:tc>
        <w:tc>
          <w:tcPr>
            <w:tcW w:w="450" w:type="dxa"/>
            <w:vAlign w:val="center"/>
          </w:tcPr>
          <w:p>
            <w:pPr>
              <w:jc w:val="center"/>
              <w:rPr>
                <w:rFonts w:hint="eastAsia"/>
              </w:rPr>
            </w:pPr>
            <w:r>
              <w:rPr>
                <w:rFonts w:hint="eastAsia"/>
                <w:lang w:val="en-US" w:eastAsia="zh-CN"/>
              </w:rPr>
              <w:t>G</w:t>
            </w:r>
            <w:r>
              <w:rPr>
                <w:rFonts w:hint="eastAsia"/>
              </w:rPr>
              <w:t>类</w:t>
            </w:r>
          </w:p>
        </w:tc>
        <w:tc>
          <w:tcPr>
            <w:tcW w:w="7185" w:type="dxa"/>
            <w:vAlign w:val="center"/>
          </w:tcPr>
          <w:p>
            <w:pPr>
              <w:rPr>
                <w:rFonts w:hint="eastAsia" w:eastAsiaTheme="minorEastAsia"/>
                <w:color w:val="000000" w:themeColor="text1"/>
                <w:lang w:eastAsia="zh-CN"/>
              </w:rPr>
            </w:pPr>
            <w:r>
              <w:rPr>
                <w:rFonts w:hint="eastAsia"/>
                <w:color w:val="000000" w:themeColor="text1"/>
                <w:lang w:eastAsia="zh-CN"/>
              </w:rPr>
              <w:t>有刊号的学术期刊论文</w:t>
            </w:r>
          </w:p>
        </w:tc>
        <w:tc>
          <w:tcPr>
            <w:tcW w:w="1065" w:type="dxa"/>
            <w:vAlign w:val="center"/>
          </w:tcPr>
          <w:p>
            <w:pPr>
              <w:jc w:val="center"/>
              <w:rPr>
                <w:rFonts w:hint="eastAsia" w:eastAsiaTheme="minorEastAsia"/>
                <w:lang w:val="en-US" w:eastAsia="zh-CN"/>
              </w:rPr>
            </w:pPr>
            <w:r>
              <w:rPr>
                <w:rFonts w:hint="eastAsia"/>
                <w:lang w:val="en-US" w:eastAsia="zh-CN"/>
              </w:rPr>
              <w:t>0.5</w:t>
            </w:r>
          </w:p>
        </w:tc>
      </w:tr>
    </w:tbl>
    <w:p>
      <w:pPr>
        <w:spacing w:line="440" w:lineRule="exact"/>
        <w:rPr>
          <w:sz w:val="24"/>
        </w:rPr>
      </w:pPr>
      <w:r>
        <w:rPr>
          <w:rFonts w:hint="eastAsia"/>
          <w:sz w:val="24"/>
        </w:rPr>
        <w:t>说明：</w:t>
      </w:r>
    </w:p>
    <w:p>
      <w:pPr>
        <w:numPr>
          <w:ilvl w:val="0"/>
          <w:numId w:val="2"/>
        </w:numPr>
        <w:spacing w:line="440" w:lineRule="exact"/>
        <w:rPr>
          <w:sz w:val="24"/>
        </w:rPr>
      </w:pPr>
      <w:r>
        <w:rPr>
          <w:rFonts w:hint="eastAsia"/>
          <w:color w:val="000000" w:themeColor="text1"/>
          <w:sz w:val="24"/>
        </w:rPr>
        <w:t>各类期刊的认定标准参照科技处相关文件；成果类级认定如有异议，由各</w:t>
      </w:r>
      <w:r>
        <w:rPr>
          <w:rFonts w:hint="eastAsia"/>
          <w:color w:val="000000" w:themeColor="text1"/>
          <w:sz w:val="24"/>
          <w:lang w:eastAsia="zh-CN"/>
        </w:rPr>
        <w:t>学位评定</w:t>
      </w:r>
      <w:r>
        <w:rPr>
          <w:rFonts w:hint="eastAsia"/>
          <w:color w:val="000000" w:themeColor="text1"/>
          <w:sz w:val="24"/>
        </w:rPr>
        <w:t>分</w:t>
      </w:r>
      <w:r>
        <w:rPr>
          <w:rFonts w:hint="eastAsia"/>
          <w:color w:val="000000" w:themeColor="text1"/>
          <w:sz w:val="24"/>
          <w:lang w:eastAsia="zh-CN"/>
        </w:rPr>
        <w:t>委员</w:t>
      </w:r>
      <w:r>
        <w:rPr>
          <w:rFonts w:hint="eastAsia"/>
          <w:color w:val="000000" w:themeColor="text1"/>
          <w:sz w:val="24"/>
        </w:rPr>
        <w:t>会裁定。</w:t>
      </w:r>
    </w:p>
    <w:p>
      <w:pPr>
        <w:numPr>
          <w:ilvl w:val="0"/>
          <w:numId w:val="2"/>
        </w:numPr>
        <w:spacing w:line="440" w:lineRule="exact"/>
        <w:rPr>
          <w:sz w:val="24"/>
        </w:rPr>
      </w:pPr>
      <w:r>
        <w:rPr>
          <w:rFonts w:hint="eastAsia"/>
          <w:color w:val="000000" w:themeColor="text1"/>
          <w:sz w:val="24"/>
        </w:rPr>
        <w:t>学术论文需得到</w:t>
      </w:r>
      <w:r>
        <w:rPr>
          <w:rFonts w:hint="eastAsia"/>
          <w:sz w:val="24"/>
        </w:rPr>
        <w:t>导师认可方能投稿，凡未经导师同意的学术论文不得投寄和发表。</w:t>
      </w:r>
    </w:p>
    <w:p>
      <w:pPr>
        <w:numPr>
          <w:ilvl w:val="0"/>
          <w:numId w:val="2"/>
        </w:numPr>
        <w:spacing w:line="440" w:lineRule="exact"/>
        <w:rPr>
          <w:sz w:val="24"/>
        </w:rPr>
      </w:pPr>
      <w:r>
        <w:rPr>
          <w:rFonts w:hint="eastAsia"/>
          <w:sz w:val="24"/>
        </w:rPr>
        <w:t>列入统计范围的学术论文必须是研究生在学期间已发表（或录用）的，已发表的需提供论文复印件，已录用的需提供录用通知书复印件、发表费发票复印件及论文全文。</w:t>
      </w:r>
    </w:p>
    <w:p>
      <w:pPr>
        <w:numPr>
          <w:ilvl w:val="0"/>
          <w:numId w:val="2"/>
        </w:numPr>
        <w:spacing w:line="440" w:lineRule="exact"/>
        <w:rPr>
          <w:sz w:val="24"/>
        </w:rPr>
      </w:pPr>
      <w:r>
        <w:rPr>
          <w:rFonts w:hint="eastAsia"/>
          <w:sz w:val="24"/>
          <w:lang w:val="en-US" w:eastAsia="zh-CN"/>
        </w:rPr>
        <w:t>G类仅适用于文学硕士、翻译硕士、法学硕士、法律硕士、经济学硕士、管理学（工商管理）硕士、应用统计硕士、工程管理硕士。</w:t>
      </w:r>
    </w:p>
    <w:p>
      <w:pPr>
        <w:numPr>
          <w:ilvl w:val="0"/>
          <w:numId w:val="2"/>
        </w:numPr>
        <w:spacing w:line="440" w:lineRule="exact"/>
        <w:rPr>
          <w:sz w:val="24"/>
        </w:rPr>
      </w:pPr>
      <w:r>
        <w:rPr>
          <w:rFonts w:hint="eastAsia"/>
          <w:sz w:val="24"/>
        </w:rPr>
        <w:t>所有计分的论文成果</w:t>
      </w:r>
      <w:r>
        <w:rPr>
          <w:rFonts w:hint="eastAsia"/>
          <w:sz w:val="24"/>
          <w:lang w:eastAsia="zh-CN"/>
        </w:rPr>
        <w:t>应</w:t>
      </w:r>
      <w:r>
        <w:rPr>
          <w:rFonts w:hint="eastAsia"/>
          <w:sz w:val="24"/>
        </w:rPr>
        <w:t>是正刊，增刊降</w:t>
      </w:r>
      <w:r>
        <w:rPr>
          <w:rFonts w:hint="eastAsia"/>
          <w:sz w:val="24"/>
          <w:lang w:eastAsia="zh-CN"/>
        </w:rPr>
        <w:t>两</w:t>
      </w:r>
      <w:r>
        <w:rPr>
          <w:rFonts w:hint="eastAsia"/>
          <w:sz w:val="24"/>
        </w:rPr>
        <w:t>档计分，</w:t>
      </w:r>
      <w:r>
        <w:rPr>
          <w:rFonts w:hint="eastAsia"/>
          <w:sz w:val="24"/>
          <w:lang w:val="en-US" w:eastAsia="zh-CN"/>
        </w:rPr>
        <w:t>F类、</w:t>
      </w:r>
      <w:r>
        <w:rPr>
          <w:rFonts w:hint="eastAsia"/>
          <w:sz w:val="24"/>
        </w:rPr>
        <w:t>G类增刊不计分。</w:t>
      </w:r>
    </w:p>
    <w:p>
      <w:pPr>
        <w:spacing w:line="440" w:lineRule="exact"/>
        <w:rPr>
          <w:sz w:val="24"/>
        </w:rPr>
      </w:pPr>
    </w:p>
    <w:p>
      <w:pPr>
        <w:numPr>
          <w:ilvl w:val="0"/>
          <w:numId w:val="3"/>
        </w:numPr>
        <w:spacing w:line="440" w:lineRule="exact"/>
        <w:rPr>
          <w:rFonts w:hint="eastAsia"/>
          <w:b/>
          <w:sz w:val="24"/>
        </w:rPr>
      </w:pPr>
      <w:r>
        <w:rPr>
          <w:rFonts w:hint="eastAsia"/>
          <w:b/>
          <w:sz w:val="24"/>
        </w:rPr>
        <w:t>知识产权计分标准（单位：分/项）</w:t>
      </w:r>
    </w:p>
    <w:p>
      <w:pPr>
        <w:spacing w:line="440" w:lineRule="exact"/>
        <w:rPr>
          <w:sz w:val="24"/>
        </w:rPr>
      </w:pPr>
    </w:p>
    <w:tbl>
      <w:tblPr>
        <w:tblStyle w:val="10"/>
        <w:tblW w:w="7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039"/>
        <w:gridCol w:w="132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77" w:type="dxa"/>
            <w:vAlign w:val="center"/>
          </w:tcPr>
          <w:p>
            <w:pPr>
              <w:jc w:val="center"/>
              <w:rPr>
                <w:szCs w:val="21"/>
              </w:rPr>
            </w:pPr>
            <w:r>
              <w:rPr>
                <w:rFonts w:hint="eastAsia"/>
                <w:szCs w:val="21"/>
              </w:rPr>
              <w:t>成果种类</w:t>
            </w:r>
          </w:p>
        </w:tc>
        <w:tc>
          <w:tcPr>
            <w:tcW w:w="3039" w:type="dxa"/>
            <w:vAlign w:val="center"/>
          </w:tcPr>
          <w:p>
            <w:pPr>
              <w:jc w:val="center"/>
              <w:rPr>
                <w:szCs w:val="21"/>
              </w:rPr>
            </w:pPr>
            <w:r>
              <w:rPr>
                <w:rFonts w:hint="eastAsia"/>
                <w:szCs w:val="21"/>
              </w:rPr>
              <w:t>成果范畴</w:t>
            </w:r>
          </w:p>
        </w:tc>
        <w:tc>
          <w:tcPr>
            <w:tcW w:w="1322" w:type="dxa"/>
            <w:vAlign w:val="center"/>
          </w:tcPr>
          <w:p>
            <w:pPr>
              <w:jc w:val="center"/>
              <w:rPr>
                <w:szCs w:val="21"/>
              </w:rPr>
            </w:pPr>
            <w:r>
              <w:rPr>
                <w:rFonts w:hint="eastAsia"/>
                <w:szCs w:val="21"/>
              </w:rPr>
              <w:t>排名1</w:t>
            </w:r>
          </w:p>
        </w:tc>
        <w:tc>
          <w:tcPr>
            <w:tcW w:w="1235" w:type="dxa"/>
            <w:vAlign w:val="center"/>
          </w:tcPr>
          <w:p>
            <w:pPr>
              <w:jc w:val="center"/>
              <w:rPr>
                <w:szCs w:val="21"/>
              </w:rPr>
            </w:pPr>
            <w:r>
              <w:rPr>
                <w:rFonts w:hint="eastAsia"/>
                <w:szCs w:val="21"/>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77" w:type="dxa"/>
            <w:vMerge w:val="restart"/>
            <w:vAlign w:val="center"/>
          </w:tcPr>
          <w:p>
            <w:pPr>
              <w:jc w:val="center"/>
              <w:rPr>
                <w:szCs w:val="21"/>
              </w:rPr>
            </w:pPr>
            <w:r>
              <w:rPr>
                <w:rFonts w:hint="eastAsia"/>
                <w:szCs w:val="21"/>
              </w:rPr>
              <w:t>知识产权</w:t>
            </w:r>
          </w:p>
        </w:tc>
        <w:tc>
          <w:tcPr>
            <w:tcW w:w="3039" w:type="dxa"/>
            <w:vAlign w:val="center"/>
          </w:tcPr>
          <w:p>
            <w:pPr>
              <w:rPr>
                <w:szCs w:val="21"/>
              </w:rPr>
            </w:pPr>
            <w:r>
              <w:rPr>
                <w:rFonts w:hint="eastAsia"/>
                <w:szCs w:val="21"/>
              </w:rPr>
              <w:t>发明专利（授权）</w:t>
            </w:r>
          </w:p>
        </w:tc>
        <w:tc>
          <w:tcPr>
            <w:tcW w:w="1322" w:type="dxa"/>
            <w:vAlign w:val="center"/>
          </w:tcPr>
          <w:p>
            <w:pPr>
              <w:jc w:val="center"/>
              <w:rPr>
                <w:szCs w:val="21"/>
              </w:rPr>
            </w:pPr>
            <w:r>
              <w:rPr>
                <w:rFonts w:hint="eastAsia"/>
                <w:szCs w:val="21"/>
              </w:rPr>
              <w:t>12</w:t>
            </w:r>
          </w:p>
        </w:tc>
        <w:tc>
          <w:tcPr>
            <w:tcW w:w="12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677" w:type="dxa"/>
            <w:vMerge w:val="continue"/>
          </w:tcPr>
          <w:p>
            <w:pPr>
              <w:rPr>
                <w:szCs w:val="21"/>
              </w:rPr>
            </w:pPr>
          </w:p>
        </w:tc>
        <w:tc>
          <w:tcPr>
            <w:tcW w:w="3039" w:type="dxa"/>
            <w:vAlign w:val="center"/>
          </w:tcPr>
          <w:p>
            <w:pPr>
              <w:rPr>
                <w:szCs w:val="21"/>
              </w:rPr>
            </w:pPr>
            <w:r>
              <w:rPr>
                <w:rFonts w:hint="eastAsia"/>
                <w:szCs w:val="21"/>
              </w:rPr>
              <w:t>发明专利（实审）</w:t>
            </w:r>
          </w:p>
        </w:tc>
        <w:tc>
          <w:tcPr>
            <w:tcW w:w="1322" w:type="dxa"/>
            <w:vAlign w:val="center"/>
          </w:tcPr>
          <w:p>
            <w:pPr>
              <w:jc w:val="center"/>
              <w:rPr>
                <w:szCs w:val="21"/>
              </w:rPr>
            </w:pPr>
            <w:r>
              <w:rPr>
                <w:rFonts w:hint="eastAsia"/>
                <w:szCs w:val="21"/>
              </w:rPr>
              <w:t>1</w:t>
            </w:r>
          </w:p>
        </w:tc>
        <w:tc>
          <w:tcPr>
            <w:tcW w:w="1235" w:type="dxa"/>
            <w:vAlign w:val="center"/>
          </w:tcPr>
          <w:p>
            <w:pPr>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677" w:type="dxa"/>
            <w:vMerge w:val="continue"/>
          </w:tcPr>
          <w:p>
            <w:pPr>
              <w:rPr>
                <w:szCs w:val="21"/>
              </w:rPr>
            </w:pPr>
          </w:p>
        </w:tc>
        <w:tc>
          <w:tcPr>
            <w:tcW w:w="3039" w:type="dxa"/>
            <w:vAlign w:val="center"/>
          </w:tcPr>
          <w:p>
            <w:pPr>
              <w:rPr>
                <w:szCs w:val="21"/>
              </w:rPr>
            </w:pPr>
            <w:r>
              <w:rPr>
                <w:rFonts w:hint="eastAsia"/>
                <w:szCs w:val="21"/>
              </w:rPr>
              <w:t>发明专利（受理）</w:t>
            </w:r>
          </w:p>
        </w:tc>
        <w:tc>
          <w:tcPr>
            <w:tcW w:w="1322" w:type="dxa"/>
            <w:vAlign w:val="center"/>
          </w:tcPr>
          <w:p>
            <w:pPr>
              <w:jc w:val="center"/>
              <w:rPr>
                <w:szCs w:val="21"/>
              </w:rPr>
            </w:pPr>
            <w:r>
              <w:rPr>
                <w:rFonts w:hint="eastAsia"/>
                <w:szCs w:val="21"/>
              </w:rPr>
              <w:t>0.5</w:t>
            </w:r>
          </w:p>
        </w:tc>
        <w:tc>
          <w:tcPr>
            <w:tcW w:w="1235"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677" w:type="dxa"/>
            <w:vMerge w:val="continue"/>
          </w:tcPr>
          <w:p>
            <w:pPr>
              <w:rPr>
                <w:szCs w:val="21"/>
              </w:rPr>
            </w:pPr>
          </w:p>
        </w:tc>
        <w:tc>
          <w:tcPr>
            <w:tcW w:w="3039" w:type="dxa"/>
            <w:vAlign w:val="center"/>
          </w:tcPr>
          <w:p>
            <w:pPr>
              <w:rPr>
                <w:szCs w:val="21"/>
              </w:rPr>
            </w:pPr>
            <w:r>
              <w:rPr>
                <w:rFonts w:hint="eastAsia"/>
                <w:szCs w:val="21"/>
              </w:rPr>
              <w:t>授权实用新型、软件著作</w:t>
            </w:r>
          </w:p>
        </w:tc>
        <w:tc>
          <w:tcPr>
            <w:tcW w:w="1322" w:type="dxa"/>
            <w:vAlign w:val="center"/>
          </w:tcPr>
          <w:p>
            <w:pPr>
              <w:jc w:val="center"/>
              <w:rPr>
                <w:szCs w:val="21"/>
              </w:rPr>
            </w:pPr>
            <w:r>
              <w:rPr>
                <w:rFonts w:hint="eastAsia"/>
                <w:szCs w:val="21"/>
              </w:rPr>
              <w:t>1</w:t>
            </w:r>
          </w:p>
        </w:tc>
        <w:tc>
          <w:tcPr>
            <w:tcW w:w="1235" w:type="dxa"/>
            <w:vAlign w:val="center"/>
          </w:tcPr>
          <w:p>
            <w:pPr>
              <w:jc w:val="center"/>
              <w:rPr>
                <w:szCs w:val="21"/>
              </w:rPr>
            </w:pPr>
            <w:r>
              <w:rPr>
                <w:rFonts w:hint="eastAsia"/>
                <w:szCs w:val="21"/>
              </w:rPr>
              <w:t>0.5</w:t>
            </w:r>
          </w:p>
        </w:tc>
      </w:tr>
    </w:tbl>
    <w:p>
      <w:pPr>
        <w:spacing w:line="440" w:lineRule="exact"/>
        <w:rPr>
          <w:sz w:val="24"/>
        </w:rPr>
      </w:pPr>
      <w:r>
        <w:rPr>
          <w:rFonts w:hint="eastAsia"/>
          <w:sz w:val="24"/>
        </w:rPr>
        <w:t>说明：</w:t>
      </w:r>
    </w:p>
    <w:p>
      <w:pPr>
        <w:numPr>
          <w:ilvl w:val="0"/>
          <w:numId w:val="4"/>
        </w:numPr>
        <w:spacing w:line="440" w:lineRule="exact"/>
        <w:rPr>
          <w:sz w:val="24"/>
        </w:rPr>
      </w:pPr>
      <w:r>
        <w:rPr>
          <w:rFonts w:hint="eastAsia"/>
          <w:sz w:val="24"/>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pPr>
        <w:numPr>
          <w:ilvl w:val="0"/>
          <w:numId w:val="4"/>
        </w:numPr>
        <w:spacing w:line="440" w:lineRule="exact"/>
        <w:rPr>
          <w:sz w:val="24"/>
        </w:rPr>
      </w:pPr>
      <w:r>
        <w:rPr>
          <w:rFonts w:hint="eastAsia"/>
          <w:sz w:val="24"/>
          <w:lang w:eastAsia="zh-CN"/>
        </w:rPr>
        <w:t>发明专利、授权实用新型均系以“上海海事大学”为第一专利权人的技术专利，以其他单位或以个人为专利权人的不计分；软件著作权人可以为个人。</w:t>
      </w:r>
    </w:p>
    <w:p>
      <w:pPr>
        <w:numPr>
          <w:ilvl w:val="0"/>
          <w:numId w:val="4"/>
        </w:numPr>
        <w:spacing w:line="440" w:lineRule="exact"/>
        <w:rPr>
          <w:sz w:val="24"/>
        </w:rPr>
      </w:pPr>
      <w:r>
        <w:rPr>
          <w:rFonts w:hint="eastAsia"/>
          <w:sz w:val="24"/>
        </w:rPr>
        <w:t>列入统计范围的知识产权必须由研究生提供相应的证书原件及复印件。</w:t>
      </w:r>
    </w:p>
    <w:p>
      <w:pPr>
        <w:spacing w:line="440" w:lineRule="exact"/>
        <w:rPr>
          <w:sz w:val="24"/>
        </w:rPr>
      </w:pPr>
    </w:p>
    <w:p>
      <w:pPr>
        <w:numPr>
          <w:ilvl w:val="0"/>
          <w:numId w:val="3"/>
        </w:numPr>
        <w:spacing w:line="440" w:lineRule="exact"/>
        <w:rPr>
          <w:rFonts w:hint="eastAsia"/>
          <w:b/>
          <w:sz w:val="24"/>
        </w:rPr>
      </w:pPr>
      <w:r>
        <w:rPr>
          <w:rFonts w:hint="eastAsia"/>
          <w:b/>
          <w:sz w:val="24"/>
        </w:rPr>
        <w:t>出版物计分标准（单位：分/万字）</w:t>
      </w:r>
    </w:p>
    <w:p>
      <w:pPr>
        <w:spacing w:line="440" w:lineRule="exact"/>
        <w:rPr>
          <w:sz w:val="24"/>
        </w:rPr>
      </w:pPr>
    </w:p>
    <w:tbl>
      <w:tblPr>
        <w:tblStyle w:val="10"/>
        <w:tblW w:w="7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54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6" w:type="dxa"/>
          </w:tcPr>
          <w:p>
            <w:pPr>
              <w:jc w:val="center"/>
              <w:rPr>
                <w:szCs w:val="21"/>
              </w:rPr>
            </w:pPr>
            <w:r>
              <w:rPr>
                <w:rFonts w:hint="eastAsia"/>
                <w:szCs w:val="21"/>
              </w:rPr>
              <w:t>成果种类</w:t>
            </w:r>
          </w:p>
        </w:tc>
        <w:tc>
          <w:tcPr>
            <w:tcW w:w="3544" w:type="dxa"/>
          </w:tcPr>
          <w:p>
            <w:pPr>
              <w:jc w:val="center"/>
              <w:rPr>
                <w:szCs w:val="21"/>
              </w:rPr>
            </w:pPr>
            <w:r>
              <w:rPr>
                <w:rFonts w:hint="eastAsia"/>
                <w:szCs w:val="21"/>
              </w:rPr>
              <w:t>成果范畴</w:t>
            </w:r>
          </w:p>
        </w:tc>
        <w:tc>
          <w:tcPr>
            <w:tcW w:w="1134" w:type="dxa"/>
          </w:tcPr>
          <w:p>
            <w:pPr>
              <w:jc w:val="center"/>
              <w:rPr>
                <w:szCs w:val="21"/>
              </w:rPr>
            </w:pPr>
            <w:r>
              <w:rPr>
                <w:rFonts w:hint="eastAsia"/>
                <w:szCs w:val="21"/>
              </w:rPr>
              <w:t>标准分</w:t>
            </w:r>
          </w:p>
        </w:tc>
        <w:tc>
          <w:tcPr>
            <w:tcW w:w="1559"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vAlign w:val="center"/>
          </w:tcPr>
          <w:p>
            <w:pPr>
              <w:jc w:val="center"/>
              <w:rPr>
                <w:szCs w:val="21"/>
              </w:rPr>
            </w:pPr>
            <w:r>
              <w:rPr>
                <w:rFonts w:hint="eastAsia"/>
                <w:szCs w:val="21"/>
              </w:rPr>
              <w:t>出版物</w:t>
            </w:r>
          </w:p>
        </w:tc>
        <w:tc>
          <w:tcPr>
            <w:tcW w:w="3544" w:type="dxa"/>
          </w:tcPr>
          <w:p>
            <w:pPr>
              <w:rPr>
                <w:szCs w:val="21"/>
              </w:rPr>
            </w:pPr>
            <w:r>
              <w:rPr>
                <w:rFonts w:hint="eastAsia"/>
                <w:szCs w:val="21"/>
              </w:rPr>
              <w:t>自然科学专著</w:t>
            </w:r>
          </w:p>
        </w:tc>
        <w:tc>
          <w:tcPr>
            <w:tcW w:w="1134" w:type="dxa"/>
          </w:tcPr>
          <w:p>
            <w:pPr>
              <w:rPr>
                <w:szCs w:val="21"/>
              </w:rPr>
            </w:pPr>
            <w:r>
              <w:rPr>
                <w:rFonts w:hint="eastAsia"/>
                <w:szCs w:val="21"/>
              </w:rPr>
              <w:t>0.6</w:t>
            </w:r>
          </w:p>
        </w:tc>
        <w:tc>
          <w:tcPr>
            <w:tcW w:w="1559" w:type="dxa"/>
            <w:vMerge w:val="restart"/>
            <w:vAlign w:val="center"/>
          </w:tcPr>
          <w:p>
            <w:pPr>
              <w:rPr>
                <w:szCs w:val="21"/>
              </w:rPr>
            </w:pPr>
            <w:r>
              <w:rPr>
                <w:rFonts w:hint="eastAsia"/>
                <w:szCs w:val="21"/>
              </w:rPr>
              <w:t>以每万字作为累计计分单位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tcPr>
          <w:p>
            <w:pPr>
              <w:rPr>
                <w:szCs w:val="21"/>
              </w:rPr>
            </w:pPr>
          </w:p>
        </w:tc>
        <w:tc>
          <w:tcPr>
            <w:tcW w:w="3544" w:type="dxa"/>
          </w:tcPr>
          <w:p>
            <w:pPr>
              <w:rPr>
                <w:szCs w:val="21"/>
              </w:rPr>
            </w:pPr>
            <w:r>
              <w:rPr>
                <w:rFonts w:hint="eastAsia"/>
                <w:szCs w:val="21"/>
              </w:rPr>
              <w:t>社会科学专著</w:t>
            </w:r>
          </w:p>
        </w:tc>
        <w:tc>
          <w:tcPr>
            <w:tcW w:w="1134" w:type="dxa"/>
          </w:tcPr>
          <w:p>
            <w:pPr>
              <w:rPr>
                <w:szCs w:val="21"/>
              </w:rPr>
            </w:pPr>
            <w:r>
              <w:rPr>
                <w:rFonts w:hint="eastAsia"/>
                <w:szCs w:val="21"/>
              </w:rPr>
              <w:t>0.6</w:t>
            </w:r>
          </w:p>
        </w:tc>
        <w:tc>
          <w:tcPr>
            <w:tcW w:w="1559"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436" w:type="dxa"/>
            <w:vMerge w:val="continue"/>
          </w:tcPr>
          <w:p>
            <w:pPr>
              <w:rPr>
                <w:szCs w:val="21"/>
              </w:rPr>
            </w:pPr>
          </w:p>
        </w:tc>
        <w:tc>
          <w:tcPr>
            <w:tcW w:w="3544" w:type="dxa"/>
          </w:tcPr>
          <w:p>
            <w:pPr>
              <w:rPr>
                <w:szCs w:val="21"/>
              </w:rPr>
            </w:pPr>
            <w:r>
              <w:rPr>
                <w:rFonts w:hint="eastAsia"/>
                <w:szCs w:val="21"/>
              </w:rPr>
              <w:t>其他出版物（含译文著</w:t>
            </w:r>
            <w:r>
              <w:rPr>
                <w:rFonts w:hint="eastAsia"/>
                <w:szCs w:val="21"/>
                <w:lang w:eastAsia="zh-CN"/>
              </w:rPr>
              <w:t>，</w:t>
            </w:r>
            <w:r>
              <w:rPr>
                <w:rFonts w:hint="eastAsia"/>
                <w:szCs w:val="21"/>
              </w:rPr>
              <w:t>工具书）</w:t>
            </w:r>
          </w:p>
        </w:tc>
        <w:tc>
          <w:tcPr>
            <w:tcW w:w="1134" w:type="dxa"/>
          </w:tcPr>
          <w:p>
            <w:pPr>
              <w:rPr>
                <w:szCs w:val="21"/>
              </w:rPr>
            </w:pPr>
            <w:r>
              <w:rPr>
                <w:rFonts w:hint="eastAsia"/>
                <w:szCs w:val="21"/>
              </w:rPr>
              <w:t>0.14</w:t>
            </w:r>
          </w:p>
        </w:tc>
        <w:tc>
          <w:tcPr>
            <w:tcW w:w="1559" w:type="dxa"/>
            <w:vMerge w:val="continue"/>
          </w:tcPr>
          <w:p>
            <w:pPr>
              <w:jc w:val="center"/>
              <w:rPr>
                <w:szCs w:val="21"/>
              </w:rPr>
            </w:pPr>
          </w:p>
        </w:tc>
      </w:tr>
    </w:tbl>
    <w:p>
      <w:pPr>
        <w:spacing w:line="440" w:lineRule="exact"/>
        <w:rPr>
          <w:sz w:val="24"/>
        </w:rPr>
      </w:pPr>
      <w:r>
        <w:rPr>
          <w:rFonts w:hint="eastAsia"/>
          <w:sz w:val="24"/>
        </w:rPr>
        <w:t>说明：</w:t>
      </w:r>
    </w:p>
    <w:p>
      <w:pPr>
        <w:numPr>
          <w:ilvl w:val="0"/>
          <w:numId w:val="5"/>
        </w:numPr>
        <w:spacing w:line="440" w:lineRule="exact"/>
        <w:rPr>
          <w:sz w:val="24"/>
        </w:rPr>
      </w:pPr>
      <w:r>
        <w:rPr>
          <w:rFonts w:hint="eastAsia"/>
          <w:sz w:val="24"/>
        </w:rPr>
        <w:t>列入统计范围的出版物，若为个人独著，则获得全部得分，若为合作专著，按个人完成字数得分。须提供出版物封面、目录复印件等相关证明材料。</w:t>
      </w:r>
    </w:p>
    <w:p>
      <w:pPr>
        <w:spacing w:line="440" w:lineRule="exact"/>
        <w:rPr>
          <w:sz w:val="24"/>
        </w:rPr>
      </w:pPr>
    </w:p>
    <w:p>
      <w:pPr>
        <w:numPr>
          <w:ilvl w:val="0"/>
          <w:numId w:val="3"/>
        </w:numPr>
        <w:spacing w:line="440" w:lineRule="exact"/>
        <w:rPr>
          <w:rFonts w:hint="eastAsia"/>
          <w:b/>
          <w:sz w:val="24"/>
        </w:rPr>
      </w:pPr>
      <w:r>
        <w:rPr>
          <w:rFonts w:hint="eastAsia"/>
          <w:b/>
          <w:sz w:val="24"/>
        </w:rPr>
        <w:t>竞赛计分标准（单位：分/项）</w:t>
      </w:r>
    </w:p>
    <w:p>
      <w:pPr>
        <w:spacing w:line="440" w:lineRule="exact"/>
        <w:rPr>
          <w:sz w:val="24"/>
        </w:rPr>
      </w:pPr>
    </w:p>
    <w:tbl>
      <w:tblPr>
        <w:tblStyle w:val="10"/>
        <w:tblW w:w="8374" w:type="dxa"/>
        <w:jc w:val="center"/>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1701"/>
        <w:gridCol w:w="1139"/>
        <w:gridCol w:w="808"/>
        <w:gridCol w:w="90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701" w:type="dxa"/>
            <w:gridSpan w:val="2"/>
          </w:tcPr>
          <w:p>
            <w:pPr>
              <w:jc w:val="center"/>
              <w:rPr>
                <w:szCs w:val="21"/>
              </w:rPr>
            </w:pPr>
            <w:r>
              <w:rPr>
                <w:rFonts w:hint="eastAsia"/>
                <w:szCs w:val="21"/>
              </w:rPr>
              <w:t>竞赛种类</w:t>
            </w:r>
          </w:p>
        </w:tc>
        <w:tc>
          <w:tcPr>
            <w:tcW w:w="1139" w:type="dxa"/>
          </w:tcPr>
          <w:p>
            <w:pPr>
              <w:jc w:val="center"/>
              <w:rPr>
                <w:szCs w:val="21"/>
              </w:rPr>
            </w:pPr>
            <w:r>
              <w:rPr>
                <w:rFonts w:hint="eastAsia"/>
                <w:szCs w:val="21"/>
              </w:rPr>
              <w:t>成果等级</w:t>
            </w:r>
          </w:p>
        </w:tc>
        <w:tc>
          <w:tcPr>
            <w:tcW w:w="808" w:type="dxa"/>
          </w:tcPr>
          <w:p>
            <w:pPr>
              <w:jc w:val="center"/>
              <w:rPr>
                <w:szCs w:val="21"/>
              </w:rPr>
            </w:pPr>
            <w:r>
              <w:rPr>
                <w:rFonts w:hint="eastAsia"/>
                <w:szCs w:val="21"/>
              </w:rPr>
              <w:t>排名1</w:t>
            </w:r>
          </w:p>
        </w:tc>
        <w:tc>
          <w:tcPr>
            <w:tcW w:w="907" w:type="dxa"/>
          </w:tcPr>
          <w:p>
            <w:pPr>
              <w:jc w:val="center"/>
              <w:rPr>
                <w:szCs w:val="21"/>
              </w:rPr>
            </w:pPr>
            <w:r>
              <w:rPr>
                <w:rFonts w:hint="eastAsia"/>
                <w:szCs w:val="21"/>
              </w:rPr>
              <w:t>排名2</w:t>
            </w:r>
          </w:p>
        </w:tc>
        <w:tc>
          <w:tcPr>
            <w:tcW w:w="819" w:type="dxa"/>
          </w:tcPr>
          <w:p>
            <w:pPr>
              <w:jc w:val="center"/>
              <w:rPr>
                <w:szCs w:val="21"/>
              </w:rPr>
            </w:pPr>
            <w:r>
              <w:rPr>
                <w:rFonts w:hint="eastAsia"/>
                <w:szCs w:val="21"/>
              </w:rPr>
              <w:t>排名3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restart"/>
            <w:vAlign w:val="center"/>
          </w:tcPr>
          <w:p>
            <w:pPr>
              <w:jc w:val="center"/>
              <w:rPr>
                <w:rFonts w:hint="eastAsia" w:eastAsiaTheme="minorEastAsia"/>
                <w:szCs w:val="21"/>
                <w:lang w:eastAsia="zh-CN"/>
              </w:rPr>
            </w:pPr>
            <w:r>
              <w:rPr>
                <w:rFonts w:hint="eastAsia"/>
                <w:szCs w:val="21"/>
              </w:rPr>
              <w:t>教育部学位与研究生教育发展中心认定的竞赛</w:t>
            </w:r>
            <w:r>
              <w:rPr>
                <w:rFonts w:hint="eastAsia"/>
                <w:szCs w:val="21"/>
                <w:lang w:eastAsia="zh-CN"/>
              </w:rPr>
              <w:t>、</w:t>
            </w:r>
            <w:r>
              <w:rPr>
                <w:rFonts w:hint="eastAsia"/>
                <w:szCs w:val="21"/>
              </w:rPr>
              <w:t>上海市认定的参与毕业生进沪就业打分的竞赛</w:t>
            </w:r>
          </w:p>
        </w:tc>
        <w:tc>
          <w:tcPr>
            <w:tcW w:w="1701" w:type="dxa"/>
            <w:vMerge w:val="restart"/>
            <w:vAlign w:val="center"/>
          </w:tcPr>
          <w:p>
            <w:pPr>
              <w:jc w:val="center"/>
              <w:rPr>
                <w:rFonts w:hint="eastAsia" w:eastAsiaTheme="minorEastAsia"/>
                <w:szCs w:val="21"/>
                <w:lang w:eastAsia="zh-CN"/>
              </w:rPr>
            </w:pPr>
            <w:r>
              <w:rPr>
                <w:rFonts w:hint="eastAsia"/>
                <w:szCs w:val="21"/>
                <w:lang w:eastAsia="zh-CN"/>
              </w:rPr>
              <w:t>国家赛</w:t>
            </w:r>
          </w:p>
        </w:tc>
        <w:tc>
          <w:tcPr>
            <w:tcW w:w="1139" w:type="dxa"/>
          </w:tcPr>
          <w:p>
            <w:pPr>
              <w:rPr>
                <w:szCs w:val="21"/>
              </w:rPr>
            </w:pPr>
            <w:r>
              <w:rPr>
                <w:rFonts w:hint="eastAsia"/>
                <w:szCs w:val="21"/>
              </w:rPr>
              <w:t>一等奖</w:t>
            </w:r>
          </w:p>
        </w:tc>
        <w:tc>
          <w:tcPr>
            <w:tcW w:w="808" w:type="dxa"/>
          </w:tcPr>
          <w:p>
            <w:pPr>
              <w:rPr>
                <w:szCs w:val="21"/>
              </w:rPr>
            </w:pPr>
            <w:r>
              <w:rPr>
                <w:rFonts w:hint="eastAsia"/>
                <w:szCs w:val="21"/>
              </w:rPr>
              <w:t>4</w:t>
            </w:r>
          </w:p>
        </w:tc>
        <w:tc>
          <w:tcPr>
            <w:tcW w:w="907" w:type="dxa"/>
            <w:vAlign w:val="center"/>
          </w:tcPr>
          <w:p>
            <w:pPr>
              <w:rPr>
                <w:szCs w:val="21"/>
              </w:rPr>
            </w:pPr>
            <w:r>
              <w:rPr>
                <w:rFonts w:hint="eastAsia"/>
                <w:szCs w:val="21"/>
              </w:rPr>
              <w:t>2.8</w:t>
            </w:r>
          </w:p>
        </w:tc>
        <w:tc>
          <w:tcPr>
            <w:tcW w:w="819" w:type="dxa"/>
            <w:vAlign w:val="center"/>
          </w:tcPr>
          <w:p>
            <w:pP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rPr>
                <w:szCs w:val="21"/>
              </w:rPr>
            </w:pPr>
          </w:p>
        </w:tc>
        <w:tc>
          <w:tcPr>
            <w:tcW w:w="1701" w:type="dxa"/>
            <w:vMerge w:val="continue"/>
          </w:tcPr>
          <w:p>
            <w:pPr>
              <w:rPr>
                <w:szCs w:val="21"/>
              </w:rPr>
            </w:pPr>
          </w:p>
        </w:tc>
        <w:tc>
          <w:tcPr>
            <w:tcW w:w="1139" w:type="dxa"/>
          </w:tcPr>
          <w:p>
            <w:pPr>
              <w:rPr>
                <w:szCs w:val="21"/>
              </w:rPr>
            </w:pPr>
            <w:r>
              <w:rPr>
                <w:rFonts w:hint="eastAsia"/>
                <w:szCs w:val="21"/>
              </w:rPr>
              <w:t>二等奖</w:t>
            </w:r>
          </w:p>
        </w:tc>
        <w:tc>
          <w:tcPr>
            <w:tcW w:w="808" w:type="dxa"/>
          </w:tcPr>
          <w:p>
            <w:pPr>
              <w:rPr>
                <w:szCs w:val="21"/>
              </w:rPr>
            </w:pPr>
            <w:r>
              <w:rPr>
                <w:rFonts w:hint="eastAsia"/>
                <w:szCs w:val="21"/>
              </w:rPr>
              <w:t>3</w:t>
            </w:r>
          </w:p>
        </w:tc>
        <w:tc>
          <w:tcPr>
            <w:tcW w:w="907" w:type="dxa"/>
          </w:tcPr>
          <w:p>
            <w:pPr>
              <w:rPr>
                <w:szCs w:val="21"/>
              </w:rPr>
            </w:pPr>
            <w:r>
              <w:rPr>
                <w:rFonts w:hint="eastAsia"/>
                <w:szCs w:val="21"/>
              </w:rPr>
              <w:t>2.1</w:t>
            </w:r>
          </w:p>
        </w:tc>
        <w:tc>
          <w:tcPr>
            <w:tcW w:w="819" w:type="dxa"/>
          </w:tcPr>
          <w:p>
            <w:pP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rPr>
                <w:szCs w:val="21"/>
              </w:rPr>
            </w:pPr>
          </w:p>
        </w:tc>
        <w:tc>
          <w:tcPr>
            <w:tcW w:w="1701" w:type="dxa"/>
            <w:vMerge w:val="continue"/>
          </w:tcPr>
          <w:p>
            <w:pPr>
              <w:rPr>
                <w:szCs w:val="21"/>
              </w:rPr>
            </w:pPr>
          </w:p>
        </w:tc>
        <w:tc>
          <w:tcPr>
            <w:tcW w:w="1139" w:type="dxa"/>
          </w:tcPr>
          <w:p>
            <w:pPr>
              <w:rPr>
                <w:szCs w:val="21"/>
              </w:rPr>
            </w:pPr>
            <w:r>
              <w:rPr>
                <w:rFonts w:hint="eastAsia"/>
                <w:szCs w:val="21"/>
              </w:rPr>
              <w:t>三等奖</w:t>
            </w:r>
          </w:p>
        </w:tc>
        <w:tc>
          <w:tcPr>
            <w:tcW w:w="808" w:type="dxa"/>
          </w:tcPr>
          <w:p>
            <w:pPr>
              <w:rPr>
                <w:szCs w:val="21"/>
              </w:rPr>
            </w:pPr>
            <w:r>
              <w:rPr>
                <w:rFonts w:hint="eastAsia"/>
                <w:szCs w:val="21"/>
              </w:rPr>
              <w:t>2</w:t>
            </w:r>
          </w:p>
        </w:tc>
        <w:tc>
          <w:tcPr>
            <w:tcW w:w="907" w:type="dxa"/>
          </w:tcPr>
          <w:p>
            <w:pPr>
              <w:rPr>
                <w:szCs w:val="21"/>
              </w:rPr>
            </w:pPr>
            <w:r>
              <w:rPr>
                <w:rFonts w:hint="eastAsia"/>
                <w:szCs w:val="21"/>
              </w:rPr>
              <w:t>1.4</w:t>
            </w:r>
          </w:p>
        </w:tc>
        <w:tc>
          <w:tcPr>
            <w:tcW w:w="819"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vAlign w:val="center"/>
          </w:tcPr>
          <w:p>
            <w:pPr>
              <w:jc w:val="center"/>
              <w:rPr>
                <w:rFonts w:hint="eastAsia"/>
                <w:szCs w:val="21"/>
              </w:rPr>
            </w:pPr>
          </w:p>
        </w:tc>
        <w:tc>
          <w:tcPr>
            <w:tcW w:w="1701" w:type="dxa"/>
            <w:vMerge w:val="restart"/>
            <w:vAlign w:val="center"/>
          </w:tcPr>
          <w:p>
            <w:pPr>
              <w:jc w:val="center"/>
              <w:rPr>
                <w:rFonts w:hint="eastAsia" w:eastAsiaTheme="minorEastAsia"/>
                <w:szCs w:val="21"/>
                <w:lang w:eastAsia="zh-CN"/>
              </w:rPr>
            </w:pPr>
            <w:r>
              <w:rPr>
                <w:rFonts w:hint="eastAsia"/>
                <w:szCs w:val="21"/>
                <w:lang w:eastAsia="zh-CN"/>
              </w:rPr>
              <w:t>地区赛</w:t>
            </w:r>
          </w:p>
        </w:tc>
        <w:tc>
          <w:tcPr>
            <w:tcW w:w="1139" w:type="dxa"/>
          </w:tcPr>
          <w:p>
            <w:pPr>
              <w:rPr>
                <w:szCs w:val="21"/>
              </w:rPr>
            </w:pPr>
            <w:r>
              <w:rPr>
                <w:rFonts w:hint="eastAsia"/>
                <w:szCs w:val="21"/>
              </w:rPr>
              <w:t>一等奖</w:t>
            </w:r>
          </w:p>
        </w:tc>
        <w:tc>
          <w:tcPr>
            <w:tcW w:w="808" w:type="dxa"/>
            <w:vAlign w:val="top"/>
          </w:tcPr>
          <w:p>
            <w:pPr>
              <w:rPr>
                <w:szCs w:val="21"/>
              </w:rPr>
            </w:pPr>
            <w:r>
              <w:rPr>
                <w:rFonts w:hint="eastAsia"/>
                <w:szCs w:val="21"/>
              </w:rPr>
              <w:t>3</w:t>
            </w:r>
          </w:p>
        </w:tc>
        <w:tc>
          <w:tcPr>
            <w:tcW w:w="907" w:type="dxa"/>
            <w:vAlign w:val="top"/>
          </w:tcPr>
          <w:p>
            <w:pPr>
              <w:rPr>
                <w:szCs w:val="21"/>
              </w:rPr>
            </w:pPr>
            <w:r>
              <w:rPr>
                <w:rFonts w:hint="eastAsia"/>
                <w:szCs w:val="21"/>
              </w:rPr>
              <w:t>2.1</w:t>
            </w:r>
          </w:p>
        </w:tc>
        <w:tc>
          <w:tcPr>
            <w:tcW w:w="819" w:type="dxa"/>
            <w:vAlign w:val="top"/>
          </w:tcPr>
          <w:p>
            <w:pP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jc w:val="center"/>
              <w:rPr>
                <w:szCs w:val="21"/>
              </w:rPr>
            </w:pPr>
          </w:p>
        </w:tc>
        <w:tc>
          <w:tcPr>
            <w:tcW w:w="1701" w:type="dxa"/>
            <w:vMerge w:val="continue"/>
          </w:tcPr>
          <w:p>
            <w:pPr>
              <w:jc w:val="center"/>
              <w:rPr>
                <w:szCs w:val="21"/>
              </w:rPr>
            </w:pPr>
          </w:p>
        </w:tc>
        <w:tc>
          <w:tcPr>
            <w:tcW w:w="1139" w:type="dxa"/>
          </w:tcPr>
          <w:p>
            <w:pPr>
              <w:rPr>
                <w:rFonts w:asciiTheme="minorEastAsia" w:hAnsiTheme="minorEastAsia" w:cstheme="minorEastAsia"/>
                <w:szCs w:val="21"/>
              </w:rPr>
            </w:pPr>
            <w:r>
              <w:rPr>
                <w:rFonts w:hint="eastAsia" w:asciiTheme="minorEastAsia" w:hAnsiTheme="minorEastAsia" w:cstheme="minorEastAsia"/>
                <w:szCs w:val="21"/>
              </w:rPr>
              <w:t>二等奖</w:t>
            </w:r>
          </w:p>
        </w:tc>
        <w:tc>
          <w:tcPr>
            <w:tcW w:w="808" w:type="dxa"/>
            <w:vAlign w:val="top"/>
          </w:tcPr>
          <w:p>
            <w:pPr>
              <w:rPr>
                <w:szCs w:val="21"/>
              </w:rPr>
            </w:pPr>
            <w:r>
              <w:rPr>
                <w:rFonts w:hint="eastAsia"/>
                <w:szCs w:val="21"/>
              </w:rPr>
              <w:t>2</w:t>
            </w:r>
          </w:p>
        </w:tc>
        <w:tc>
          <w:tcPr>
            <w:tcW w:w="907" w:type="dxa"/>
            <w:vAlign w:val="top"/>
          </w:tcPr>
          <w:p>
            <w:pPr>
              <w:rPr>
                <w:szCs w:val="21"/>
              </w:rPr>
            </w:pPr>
            <w:r>
              <w:rPr>
                <w:rFonts w:hint="eastAsia"/>
                <w:szCs w:val="21"/>
              </w:rPr>
              <w:t>1.4</w:t>
            </w:r>
          </w:p>
        </w:tc>
        <w:tc>
          <w:tcPr>
            <w:tcW w:w="819" w:type="dxa"/>
            <w:vAlign w:val="top"/>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jc w:val="center"/>
              <w:rPr>
                <w:szCs w:val="21"/>
              </w:rPr>
            </w:pPr>
          </w:p>
        </w:tc>
        <w:tc>
          <w:tcPr>
            <w:tcW w:w="1701" w:type="dxa"/>
            <w:vMerge w:val="continue"/>
          </w:tcPr>
          <w:p>
            <w:pPr>
              <w:jc w:val="center"/>
              <w:rPr>
                <w:szCs w:val="21"/>
              </w:rPr>
            </w:pPr>
          </w:p>
        </w:tc>
        <w:tc>
          <w:tcPr>
            <w:tcW w:w="1139" w:type="dxa"/>
          </w:tcPr>
          <w:p>
            <w:pPr>
              <w:rPr>
                <w:szCs w:val="21"/>
              </w:rPr>
            </w:pPr>
            <w:r>
              <w:rPr>
                <w:rFonts w:hint="eastAsia" w:asciiTheme="minorEastAsia" w:hAnsiTheme="minorEastAsia" w:cstheme="minorEastAsia"/>
                <w:szCs w:val="21"/>
              </w:rPr>
              <w:t>三等奖</w:t>
            </w:r>
          </w:p>
        </w:tc>
        <w:tc>
          <w:tcPr>
            <w:tcW w:w="808" w:type="dxa"/>
            <w:vAlign w:val="top"/>
          </w:tcPr>
          <w:p>
            <w:pPr>
              <w:rPr>
                <w:szCs w:val="21"/>
              </w:rPr>
            </w:pPr>
            <w:r>
              <w:rPr>
                <w:rFonts w:hint="eastAsia"/>
                <w:szCs w:val="21"/>
              </w:rPr>
              <w:t>1</w:t>
            </w:r>
          </w:p>
        </w:tc>
        <w:tc>
          <w:tcPr>
            <w:tcW w:w="907" w:type="dxa"/>
            <w:vAlign w:val="top"/>
          </w:tcPr>
          <w:p>
            <w:pPr>
              <w:rPr>
                <w:szCs w:val="21"/>
              </w:rPr>
            </w:pPr>
            <w:r>
              <w:rPr>
                <w:rFonts w:hint="eastAsia"/>
                <w:szCs w:val="21"/>
              </w:rPr>
              <w:t>0.7</w:t>
            </w:r>
          </w:p>
        </w:tc>
        <w:tc>
          <w:tcPr>
            <w:tcW w:w="819" w:type="dxa"/>
            <w:vAlign w:val="top"/>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jc w:val="center"/>
              <w:rPr>
                <w:rFonts w:hint="eastAsia"/>
                <w:szCs w:val="21"/>
              </w:rPr>
            </w:pPr>
          </w:p>
        </w:tc>
        <w:tc>
          <w:tcPr>
            <w:tcW w:w="1701" w:type="dxa"/>
            <w:vMerge w:val="restart"/>
            <w:vAlign w:val="center"/>
          </w:tcPr>
          <w:p>
            <w:pPr>
              <w:jc w:val="center"/>
              <w:rPr>
                <w:rFonts w:hint="eastAsia" w:eastAsiaTheme="minorEastAsia"/>
                <w:szCs w:val="21"/>
                <w:lang w:eastAsia="zh-CN"/>
              </w:rPr>
            </w:pPr>
            <w:r>
              <w:rPr>
                <w:rFonts w:hint="eastAsia"/>
                <w:szCs w:val="21"/>
                <w:lang w:eastAsia="zh-CN"/>
              </w:rPr>
              <w:t>校园赛</w:t>
            </w:r>
          </w:p>
        </w:tc>
        <w:tc>
          <w:tcPr>
            <w:tcW w:w="1139" w:type="dxa"/>
          </w:tcPr>
          <w:p>
            <w:pPr>
              <w:rPr>
                <w:rFonts w:asciiTheme="minorEastAsia" w:hAnsiTheme="minorEastAsia" w:cstheme="minorEastAsia"/>
                <w:szCs w:val="21"/>
              </w:rPr>
            </w:pPr>
            <w:r>
              <w:rPr>
                <w:rFonts w:hint="eastAsia" w:asciiTheme="minorEastAsia" w:hAnsiTheme="minorEastAsia" w:cstheme="minorEastAsia"/>
                <w:szCs w:val="21"/>
              </w:rPr>
              <w:t>一等奖</w:t>
            </w:r>
          </w:p>
        </w:tc>
        <w:tc>
          <w:tcPr>
            <w:tcW w:w="808" w:type="dxa"/>
          </w:tcPr>
          <w:p>
            <w:pPr>
              <w:rPr>
                <w:szCs w:val="21"/>
              </w:rPr>
            </w:pPr>
            <w:r>
              <w:rPr>
                <w:rFonts w:hint="eastAsia"/>
                <w:szCs w:val="21"/>
              </w:rPr>
              <w:t>1</w:t>
            </w:r>
          </w:p>
        </w:tc>
        <w:tc>
          <w:tcPr>
            <w:tcW w:w="907" w:type="dxa"/>
            <w:vAlign w:val="center"/>
          </w:tcPr>
          <w:p>
            <w:pPr>
              <w:rPr>
                <w:szCs w:val="21"/>
              </w:rPr>
            </w:pPr>
            <w:r>
              <w:rPr>
                <w:rFonts w:hint="eastAsia"/>
                <w:szCs w:val="21"/>
              </w:rPr>
              <w:t>0.7</w:t>
            </w:r>
          </w:p>
        </w:tc>
        <w:tc>
          <w:tcPr>
            <w:tcW w:w="819" w:type="dxa"/>
            <w:vAlign w:val="center"/>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0" w:type="dxa"/>
            <w:vMerge w:val="continue"/>
          </w:tcPr>
          <w:p>
            <w:pPr>
              <w:jc w:val="center"/>
              <w:rPr>
                <w:szCs w:val="21"/>
              </w:rPr>
            </w:pPr>
          </w:p>
        </w:tc>
        <w:tc>
          <w:tcPr>
            <w:tcW w:w="1701" w:type="dxa"/>
            <w:vMerge w:val="continue"/>
          </w:tcPr>
          <w:p>
            <w:pPr>
              <w:jc w:val="center"/>
              <w:rPr>
                <w:szCs w:val="21"/>
              </w:rPr>
            </w:pPr>
          </w:p>
        </w:tc>
        <w:tc>
          <w:tcPr>
            <w:tcW w:w="1139"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二等奖</w:t>
            </w:r>
          </w:p>
        </w:tc>
        <w:tc>
          <w:tcPr>
            <w:tcW w:w="808" w:type="dxa"/>
            <w:vAlign w:val="center"/>
          </w:tcPr>
          <w:p>
            <w:pPr>
              <w:jc w:val="both"/>
              <w:rPr>
                <w:szCs w:val="21"/>
              </w:rPr>
            </w:pPr>
            <w:r>
              <w:rPr>
                <w:rFonts w:hint="eastAsia"/>
                <w:szCs w:val="21"/>
              </w:rPr>
              <w:t>0.5</w:t>
            </w:r>
          </w:p>
        </w:tc>
        <w:tc>
          <w:tcPr>
            <w:tcW w:w="907" w:type="dxa"/>
            <w:vAlign w:val="center"/>
          </w:tcPr>
          <w:p>
            <w:pPr>
              <w:jc w:val="both"/>
              <w:rPr>
                <w:szCs w:val="21"/>
              </w:rPr>
            </w:pPr>
            <w:r>
              <w:rPr>
                <w:rFonts w:hint="eastAsia"/>
                <w:szCs w:val="21"/>
              </w:rPr>
              <w:t>-</w:t>
            </w:r>
          </w:p>
        </w:tc>
        <w:tc>
          <w:tcPr>
            <w:tcW w:w="819" w:type="dxa"/>
            <w:vAlign w:val="center"/>
          </w:tcPr>
          <w:p>
            <w:pPr>
              <w:jc w:val="both"/>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1" w:type="dxa"/>
            <w:gridSpan w:val="2"/>
            <w:vMerge w:val="restart"/>
            <w:vAlign w:val="center"/>
          </w:tcPr>
          <w:p>
            <w:pPr>
              <w:jc w:val="center"/>
              <w:rPr>
                <w:szCs w:val="21"/>
              </w:rPr>
            </w:pPr>
            <w:r>
              <w:rPr>
                <w:rFonts w:hint="eastAsia"/>
                <w:szCs w:val="21"/>
              </w:rPr>
              <w:t>我校认定的其他全国性专业竞赛</w:t>
            </w:r>
          </w:p>
        </w:tc>
        <w:tc>
          <w:tcPr>
            <w:tcW w:w="1139" w:type="dxa"/>
          </w:tcPr>
          <w:p>
            <w:pPr>
              <w:rPr>
                <w:rFonts w:asciiTheme="minorEastAsia" w:hAnsiTheme="minorEastAsia" w:cstheme="minorEastAsia"/>
                <w:szCs w:val="21"/>
              </w:rPr>
            </w:pPr>
            <w:r>
              <w:rPr>
                <w:rFonts w:hint="eastAsia"/>
                <w:szCs w:val="21"/>
              </w:rPr>
              <w:t>一等奖</w:t>
            </w:r>
          </w:p>
        </w:tc>
        <w:tc>
          <w:tcPr>
            <w:tcW w:w="808" w:type="dxa"/>
          </w:tcPr>
          <w:p>
            <w:pPr>
              <w:rPr>
                <w:szCs w:val="21"/>
              </w:rPr>
            </w:pPr>
            <w:r>
              <w:rPr>
                <w:rFonts w:hint="eastAsia"/>
                <w:szCs w:val="21"/>
              </w:rPr>
              <w:t>3</w:t>
            </w:r>
          </w:p>
        </w:tc>
        <w:tc>
          <w:tcPr>
            <w:tcW w:w="907" w:type="dxa"/>
          </w:tcPr>
          <w:p>
            <w:pPr>
              <w:rPr>
                <w:szCs w:val="21"/>
              </w:rPr>
            </w:pPr>
            <w:r>
              <w:rPr>
                <w:rFonts w:hint="eastAsia"/>
                <w:szCs w:val="21"/>
              </w:rPr>
              <w:t>2.1</w:t>
            </w:r>
          </w:p>
        </w:tc>
        <w:tc>
          <w:tcPr>
            <w:tcW w:w="819" w:type="dxa"/>
          </w:tcPr>
          <w:p>
            <w:pP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1" w:type="dxa"/>
            <w:gridSpan w:val="2"/>
            <w:vMerge w:val="continue"/>
          </w:tcPr>
          <w:p>
            <w:pPr>
              <w:jc w:val="center"/>
              <w:rPr>
                <w:szCs w:val="21"/>
              </w:rPr>
            </w:pPr>
          </w:p>
        </w:tc>
        <w:tc>
          <w:tcPr>
            <w:tcW w:w="1139" w:type="dxa"/>
          </w:tcPr>
          <w:p>
            <w:pPr>
              <w:rPr>
                <w:rFonts w:asciiTheme="minorEastAsia" w:hAnsiTheme="minorEastAsia" w:cstheme="minorEastAsia"/>
                <w:szCs w:val="21"/>
              </w:rPr>
            </w:pPr>
            <w:r>
              <w:rPr>
                <w:rFonts w:hint="eastAsia" w:asciiTheme="minorEastAsia" w:hAnsiTheme="minorEastAsia" w:cstheme="minorEastAsia"/>
                <w:szCs w:val="21"/>
              </w:rPr>
              <w:t>二等奖</w:t>
            </w:r>
          </w:p>
        </w:tc>
        <w:tc>
          <w:tcPr>
            <w:tcW w:w="808" w:type="dxa"/>
          </w:tcPr>
          <w:p>
            <w:pPr>
              <w:rPr>
                <w:szCs w:val="21"/>
              </w:rPr>
            </w:pPr>
            <w:r>
              <w:rPr>
                <w:rFonts w:hint="eastAsia"/>
                <w:szCs w:val="21"/>
              </w:rPr>
              <w:t>2</w:t>
            </w:r>
          </w:p>
        </w:tc>
        <w:tc>
          <w:tcPr>
            <w:tcW w:w="907" w:type="dxa"/>
          </w:tcPr>
          <w:p>
            <w:pPr>
              <w:rPr>
                <w:szCs w:val="21"/>
              </w:rPr>
            </w:pPr>
            <w:r>
              <w:rPr>
                <w:rFonts w:hint="eastAsia"/>
                <w:szCs w:val="21"/>
              </w:rPr>
              <w:t>1.4</w:t>
            </w:r>
          </w:p>
        </w:tc>
        <w:tc>
          <w:tcPr>
            <w:tcW w:w="819"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1" w:type="dxa"/>
            <w:gridSpan w:val="2"/>
            <w:vMerge w:val="continue"/>
          </w:tcPr>
          <w:p>
            <w:pPr>
              <w:jc w:val="center"/>
              <w:rPr>
                <w:szCs w:val="21"/>
              </w:rPr>
            </w:pPr>
          </w:p>
        </w:tc>
        <w:tc>
          <w:tcPr>
            <w:tcW w:w="1139" w:type="dxa"/>
          </w:tcPr>
          <w:p>
            <w:pPr>
              <w:rPr>
                <w:rFonts w:asciiTheme="minorEastAsia" w:hAnsiTheme="minorEastAsia" w:cstheme="minorEastAsia"/>
                <w:szCs w:val="21"/>
              </w:rPr>
            </w:pPr>
            <w:r>
              <w:rPr>
                <w:rFonts w:hint="eastAsia" w:asciiTheme="minorEastAsia" w:hAnsiTheme="minorEastAsia" w:cstheme="minorEastAsia"/>
                <w:szCs w:val="21"/>
              </w:rPr>
              <w:t>三等奖</w:t>
            </w:r>
          </w:p>
        </w:tc>
        <w:tc>
          <w:tcPr>
            <w:tcW w:w="808" w:type="dxa"/>
          </w:tcPr>
          <w:p>
            <w:pPr>
              <w:rPr>
                <w:szCs w:val="21"/>
              </w:rPr>
            </w:pPr>
            <w:r>
              <w:rPr>
                <w:rFonts w:hint="eastAsia"/>
                <w:szCs w:val="21"/>
              </w:rPr>
              <w:t>1</w:t>
            </w:r>
          </w:p>
        </w:tc>
        <w:tc>
          <w:tcPr>
            <w:tcW w:w="907" w:type="dxa"/>
          </w:tcPr>
          <w:p>
            <w:pPr>
              <w:rPr>
                <w:szCs w:val="21"/>
              </w:rPr>
            </w:pPr>
            <w:r>
              <w:rPr>
                <w:rFonts w:hint="eastAsia"/>
                <w:szCs w:val="21"/>
              </w:rPr>
              <w:t>0.7</w:t>
            </w:r>
          </w:p>
        </w:tc>
        <w:tc>
          <w:tcPr>
            <w:tcW w:w="819" w:type="dxa"/>
          </w:tcPr>
          <w:p>
            <w:pPr>
              <w:rPr>
                <w:szCs w:val="21"/>
              </w:rPr>
            </w:pPr>
            <w:r>
              <w:rPr>
                <w:rFonts w:hint="eastAsia"/>
                <w:szCs w:val="21"/>
              </w:rPr>
              <w:t>0.5</w:t>
            </w:r>
          </w:p>
        </w:tc>
      </w:tr>
    </w:tbl>
    <w:p>
      <w:pPr>
        <w:spacing w:line="440" w:lineRule="exact"/>
        <w:rPr>
          <w:color w:val="0000FF"/>
          <w:sz w:val="24"/>
        </w:rPr>
      </w:pPr>
      <w:r>
        <w:rPr>
          <w:rFonts w:hint="eastAsia"/>
          <w:color w:val="000000" w:themeColor="text1"/>
          <w:sz w:val="24"/>
        </w:rPr>
        <w:t>说明：</w:t>
      </w:r>
    </w:p>
    <w:p>
      <w:pPr>
        <w:numPr>
          <w:ilvl w:val="0"/>
          <w:numId w:val="6"/>
        </w:numPr>
        <w:spacing w:line="440" w:lineRule="exact"/>
        <w:rPr>
          <w:sz w:val="24"/>
        </w:rPr>
      </w:pPr>
      <w:r>
        <w:rPr>
          <w:rFonts w:hint="eastAsia"/>
          <w:sz w:val="24"/>
        </w:rPr>
        <w:t>教育部学位与研究生教育发展中心认定的竞赛指的是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MPAcc学生案例大赛 ”等。</w:t>
      </w:r>
    </w:p>
    <w:p>
      <w:pPr>
        <w:numPr>
          <w:ilvl w:val="0"/>
          <w:numId w:val="6"/>
        </w:numPr>
        <w:spacing w:line="440" w:lineRule="exact"/>
        <w:rPr>
          <w:color w:val="000000" w:themeColor="text1"/>
          <w:sz w:val="24"/>
        </w:rPr>
      </w:pPr>
      <w:r>
        <w:rPr>
          <w:rFonts w:hint="eastAsia"/>
          <w:color w:val="000000" w:themeColor="text1"/>
          <w:sz w:val="24"/>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pPr>
        <w:numPr>
          <w:ilvl w:val="0"/>
          <w:numId w:val="6"/>
        </w:numPr>
        <w:spacing w:line="440" w:lineRule="exact"/>
        <w:rPr>
          <w:sz w:val="24"/>
        </w:rPr>
      </w:pPr>
      <w:r>
        <w:rPr>
          <w:rFonts w:hint="eastAsia"/>
          <w:sz w:val="24"/>
        </w:rPr>
        <w:t>以上两种类别竞赛细目每年更新，若有变动，以当年发布的数据为准。</w:t>
      </w:r>
    </w:p>
    <w:p>
      <w:pPr>
        <w:numPr>
          <w:ilvl w:val="0"/>
          <w:numId w:val="6"/>
        </w:numPr>
        <w:spacing w:line="440" w:lineRule="exact"/>
        <w:rPr>
          <w:sz w:val="24"/>
        </w:rPr>
      </w:pPr>
      <w:r>
        <w:rPr>
          <w:rFonts w:hint="eastAsia"/>
          <w:sz w:val="24"/>
        </w:rPr>
        <w:t>我校认定的其他竞赛包括：“中国制冷空调行业大学生科技竞赛”</w:t>
      </w:r>
      <w:r>
        <w:rPr>
          <w:rFonts w:hint="eastAsia"/>
          <w:sz w:val="24"/>
          <w:lang w:eastAsia="zh-CN"/>
        </w:rPr>
        <w:t>“中国制冷学会创新大赛”“全国大学生节能减排社会实践与科技竞赛”</w:t>
      </w:r>
      <w:r>
        <w:rPr>
          <w:rFonts w:hint="eastAsia"/>
          <w:sz w:val="24"/>
        </w:rPr>
        <w:t>“大学生交通科技大赛”“西门子杯中国制造挑战赛”“全国高校物联网应用创新大赛”等。</w:t>
      </w:r>
    </w:p>
    <w:p>
      <w:pPr>
        <w:numPr>
          <w:ilvl w:val="0"/>
          <w:numId w:val="6"/>
        </w:numPr>
        <w:spacing w:line="440" w:lineRule="exact"/>
        <w:rPr>
          <w:sz w:val="24"/>
        </w:rPr>
      </w:pPr>
      <w:r>
        <w:rPr>
          <w:rFonts w:hint="eastAsia"/>
          <w:sz w:val="24"/>
        </w:rPr>
        <w:t>列入统计范围的竞赛若为个人奖项，则按排名1得分，若为团体获奖，则按照排名得分，只计前三名。</w:t>
      </w:r>
    </w:p>
    <w:p>
      <w:pPr>
        <w:numPr>
          <w:ilvl w:val="0"/>
          <w:numId w:val="6"/>
        </w:numPr>
        <w:spacing w:line="440" w:lineRule="exact"/>
        <w:rPr>
          <w:sz w:val="24"/>
        </w:rPr>
      </w:pPr>
      <w:r>
        <w:rPr>
          <w:rFonts w:hint="eastAsia"/>
          <w:sz w:val="24"/>
        </w:rPr>
        <w:t>列入统计范围的竞赛须提供获奖证书复印件等证明材料。</w:t>
      </w:r>
    </w:p>
    <w:p>
      <w:pPr>
        <w:spacing w:line="440" w:lineRule="exact"/>
        <w:rPr>
          <w:sz w:val="24"/>
        </w:rPr>
      </w:pPr>
    </w:p>
    <w:p>
      <w:pPr>
        <w:numPr>
          <w:ilvl w:val="0"/>
          <w:numId w:val="3"/>
        </w:numPr>
        <w:spacing w:line="440" w:lineRule="exact"/>
        <w:rPr>
          <w:b/>
          <w:bCs w:val="0"/>
          <w:sz w:val="24"/>
        </w:rPr>
      </w:pPr>
      <w:r>
        <w:rPr>
          <w:rFonts w:hint="eastAsia"/>
          <w:b/>
          <w:bCs w:val="0"/>
          <w:sz w:val="24"/>
        </w:rPr>
        <w:t>境外研学计分标准（单位：分/项）</w:t>
      </w:r>
    </w:p>
    <w:tbl>
      <w:tblPr>
        <w:tblStyle w:val="10"/>
        <w:tblpPr w:leftFromText="180" w:rightFromText="180" w:vertAnchor="text" w:horzAnchor="page" w:tblpX="2759" w:tblpY="254"/>
        <w:tblOverlap w:val="never"/>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73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730" w:type="dxa"/>
          </w:tcPr>
          <w:p>
            <w:pPr>
              <w:jc w:val="center"/>
              <w:rPr>
                <w:szCs w:val="21"/>
              </w:rPr>
            </w:pPr>
            <w:r>
              <w:rPr>
                <w:rFonts w:hint="eastAsia"/>
                <w:szCs w:val="21"/>
              </w:rPr>
              <w:t>成果种类</w:t>
            </w:r>
          </w:p>
        </w:tc>
        <w:tc>
          <w:tcPr>
            <w:tcW w:w="2730" w:type="dxa"/>
          </w:tcPr>
          <w:p>
            <w:pPr>
              <w:jc w:val="center"/>
              <w:rPr>
                <w:szCs w:val="21"/>
              </w:rPr>
            </w:pPr>
            <w:r>
              <w:rPr>
                <w:rFonts w:hint="eastAsia"/>
                <w:szCs w:val="21"/>
              </w:rPr>
              <w:t>成果范畴</w:t>
            </w:r>
          </w:p>
        </w:tc>
        <w:tc>
          <w:tcPr>
            <w:tcW w:w="1098" w:type="dxa"/>
          </w:tcPr>
          <w:p>
            <w:pPr>
              <w:jc w:val="center"/>
              <w:rPr>
                <w:szCs w:val="21"/>
              </w:rPr>
            </w:pPr>
            <w:r>
              <w:rPr>
                <w:rFonts w:hint="eastAsia"/>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0" w:type="dxa"/>
            <w:vAlign w:val="center"/>
          </w:tcPr>
          <w:p>
            <w:pPr>
              <w:jc w:val="center"/>
              <w:rPr>
                <w:szCs w:val="21"/>
              </w:rPr>
            </w:pPr>
            <w:r>
              <w:rPr>
                <w:rFonts w:hint="eastAsia"/>
                <w:szCs w:val="21"/>
              </w:rPr>
              <w:t>长期研学、实习项目</w:t>
            </w:r>
          </w:p>
        </w:tc>
        <w:tc>
          <w:tcPr>
            <w:tcW w:w="2730" w:type="dxa"/>
          </w:tcPr>
          <w:p>
            <w:pPr>
              <w:rPr>
                <w:rFonts w:asciiTheme="minorEastAsia" w:hAnsiTheme="minorEastAsia" w:cstheme="minorEastAsia"/>
                <w:szCs w:val="21"/>
              </w:rPr>
            </w:pPr>
            <w:r>
              <w:rPr>
                <w:rFonts w:hint="eastAsia" w:asciiTheme="minorEastAsia" w:hAnsiTheme="minorEastAsia" w:cstheme="minorEastAsia"/>
                <w:szCs w:val="21"/>
              </w:rPr>
              <w:t>10个月以上</w:t>
            </w:r>
          </w:p>
        </w:tc>
        <w:tc>
          <w:tcPr>
            <w:tcW w:w="1098" w:type="dxa"/>
          </w:tcPr>
          <w:p>
            <w:pPr>
              <w:rPr>
                <w:rFonts w:hint="eastAsia" w:eastAsiaTheme="minorEastAsia"/>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0" w:type="dxa"/>
          </w:tcPr>
          <w:p>
            <w:pPr>
              <w:jc w:val="center"/>
              <w:rPr>
                <w:szCs w:val="21"/>
              </w:rPr>
            </w:pPr>
            <w:r>
              <w:rPr>
                <w:rFonts w:hint="eastAsia"/>
                <w:szCs w:val="21"/>
                <w:lang w:eastAsia="zh-CN"/>
              </w:rPr>
              <w:t>中期</w:t>
            </w:r>
            <w:r>
              <w:rPr>
                <w:rFonts w:hint="eastAsia"/>
                <w:szCs w:val="21"/>
              </w:rPr>
              <w:t>研学、实习项目</w:t>
            </w:r>
          </w:p>
        </w:tc>
        <w:tc>
          <w:tcPr>
            <w:tcW w:w="2730" w:type="dxa"/>
          </w:tcPr>
          <w:p>
            <w:pPr>
              <w:rPr>
                <w:rFonts w:asciiTheme="minorEastAsia" w:hAnsiTheme="minorEastAsia" w:cstheme="minorEastAsia"/>
                <w:szCs w:val="21"/>
              </w:rPr>
            </w:pPr>
            <w:r>
              <w:rPr>
                <w:rFonts w:hint="eastAsia" w:asciiTheme="minorEastAsia" w:hAnsiTheme="minorEastAsia" w:cstheme="minorEastAsia"/>
                <w:szCs w:val="21"/>
              </w:rPr>
              <w:t>4-</w:t>
            </w: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个月</w:t>
            </w:r>
          </w:p>
        </w:tc>
        <w:tc>
          <w:tcPr>
            <w:tcW w:w="1098" w:type="dxa"/>
          </w:tcPr>
          <w:p>
            <w:pP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0" w:type="dxa"/>
          </w:tcPr>
          <w:p>
            <w:pPr>
              <w:jc w:val="center"/>
              <w:rPr>
                <w:szCs w:val="21"/>
              </w:rPr>
            </w:pPr>
            <w:r>
              <w:rPr>
                <w:rFonts w:hint="eastAsia"/>
                <w:szCs w:val="21"/>
                <w:lang w:eastAsia="zh-CN"/>
              </w:rPr>
              <w:t>短期</w:t>
            </w:r>
            <w:r>
              <w:rPr>
                <w:rFonts w:hint="eastAsia"/>
                <w:szCs w:val="21"/>
              </w:rPr>
              <w:t>研学、实习项目</w:t>
            </w:r>
          </w:p>
        </w:tc>
        <w:tc>
          <w:tcPr>
            <w:tcW w:w="2730" w:type="dxa"/>
          </w:tcPr>
          <w:p>
            <w:pPr>
              <w:rPr>
                <w:rFonts w:asciiTheme="minorEastAsia" w:hAnsiTheme="minorEastAsia" w:cstheme="minorEastAsia"/>
                <w:szCs w:val="21"/>
              </w:rPr>
            </w:pPr>
            <w:r>
              <w:rPr>
                <w:rFonts w:hint="eastAsia" w:asciiTheme="minorEastAsia" w:hAnsiTheme="minorEastAsia" w:cstheme="minorEastAsia"/>
                <w:szCs w:val="21"/>
              </w:rPr>
              <w:t>10天以上，</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个月以下</w:t>
            </w:r>
          </w:p>
        </w:tc>
        <w:tc>
          <w:tcPr>
            <w:tcW w:w="1098"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0" w:type="dxa"/>
            <w:vAlign w:val="center"/>
          </w:tcPr>
          <w:p>
            <w:pPr>
              <w:jc w:val="center"/>
              <w:rPr>
                <w:szCs w:val="21"/>
              </w:rPr>
            </w:pPr>
            <w:r>
              <w:rPr>
                <w:rFonts w:hint="eastAsia"/>
                <w:szCs w:val="21"/>
              </w:rPr>
              <w:t>国际会议项目</w:t>
            </w:r>
          </w:p>
        </w:tc>
        <w:tc>
          <w:tcPr>
            <w:tcW w:w="2730" w:type="dxa"/>
          </w:tcPr>
          <w:p>
            <w:pPr>
              <w:rPr>
                <w:rFonts w:asciiTheme="minorEastAsia" w:hAnsiTheme="minorEastAsia" w:cstheme="minorEastAsia"/>
                <w:szCs w:val="21"/>
              </w:rPr>
            </w:pPr>
            <w:r>
              <w:rPr>
                <w:rFonts w:hint="eastAsia" w:asciiTheme="minorEastAsia" w:hAnsiTheme="minorEastAsia" w:cstheme="minorEastAsia"/>
                <w:szCs w:val="21"/>
              </w:rPr>
              <w:t>10天及以下</w:t>
            </w:r>
          </w:p>
        </w:tc>
        <w:tc>
          <w:tcPr>
            <w:tcW w:w="1098" w:type="dxa"/>
          </w:tcPr>
          <w:p>
            <w:pPr>
              <w:rPr>
                <w:szCs w:val="21"/>
              </w:rPr>
            </w:pPr>
            <w:r>
              <w:rPr>
                <w:rFonts w:hint="eastAsia"/>
                <w:szCs w:val="21"/>
              </w:rPr>
              <w:t>0.5</w:t>
            </w:r>
          </w:p>
        </w:tc>
      </w:tr>
    </w:tbl>
    <w:p>
      <w:pPr>
        <w:numPr>
          <w:ilvl w:val="0"/>
          <w:numId w:val="0"/>
        </w:numPr>
        <w:spacing w:line="440" w:lineRule="exact"/>
        <w:rPr>
          <w:sz w:val="24"/>
        </w:rPr>
      </w:pPr>
    </w:p>
    <w:p>
      <w:pPr>
        <w:spacing w:line="440" w:lineRule="exact"/>
        <w:rPr>
          <w:rFonts w:hint="eastAsia"/>
          <w:sz w:val="24"/>
        </w:rPr>
      </w:pPr>
    </w:p>
    <w:p>
      <w:pPr>
        <w:spacing w:line="440" w:lineRule="exact"/>
        <w:rPr>
          <w:rFonts w:hint="eastAsia"/>
          <w:sz w:val="24"/>
        </w:rPr>
      </w:pPr>
    </w:p>
    <w:p>
      <w:pPr>
        <w:spacing w:line="440" w:lineRule="exact"/>
        <w:rPr>
          <w:rFonts w:hint="eastAsia"/>
          <w:sz w:val="24"/>
        </w:rPr>
      </w:pPr>
    </w:p>
    <w:p>
      <w:pPr>
        <w:spacing w:line="440" w:lineRule="exact"/>
        <w:rPr>
          <w:sz w:val="24"/>
        </w:rPr>
      </w:pPr>
      <w:r>
        <w:rPr>
          <w:rFonts w:hint="eastAsia"/>
          <w:sz w:val="24"/>
        </w:rPr>
        <w:t>说明：</w:t>
      </w:r>
    </w:p>
    <w:p>
      <w:pPr>
        <w:numPr>
          <w:ilvl w:val="0"/>
          <w:numId w:val="7"/>
        </w:numPr>
        <w:spacing w:line="440" w:lineRule="exact"/>
        <w:rPr>
          <w:sz w:val="24"/>
        </w:rPr>
      </w:pPr>
      <w:r>
        <w:rPr>
          <w:rFonts w:hint="eastAsia"/>
          <w:sz w:val="24"/>
        </w:rPr>
        <w:t>本文件所称项目包括“国家公派出国留学研究生项目”和由我校或各学院、研究生导师负责进行推选、派出和管理的各种研究生境外研学、实习项目。相关规定参见《上海海事大学研究生境外研学项目管理办法》。</w:t>
      </w:r>
    </w:p>
    <w:p>
      <w:pPr>
        <w:spacing w:line="440" w:lineRule="exact"/>
        <w:rPr>
          <w:sz w:val="24"/>
        </w:rPr>
      </w:pPr>
    </w:p>
    <w:p>
      <w:pPr>
        <w:numPr>
          <w:ilvl w:val="0"/>
          <w:numId w:val="3"/>
        </w:numPr>
        <w:spacing w:line="440" w:lineRule="exact"/>
        <w:rPr>
          <w:rFonts w:hint="eastAsia"/>
          <w:b/>
          <w:sz w:val="24"/>
        </w:rPr>
      </w:pPr>
      <w:r>
        <w:rPr>
          <w:rFonts w:hint="eastAsia"/>
          <w:b/>
          <w:sz w:val="24"/>
        </w:rPr>
        <w:t>其他成果计分标准（单位：分/项）</w:t>
      </w:r>
    </w:p>
    <w:tbl>
      <w:tblPr>
        <w:tblStyle w:val="10"/>
        <w:tblpPr w:leftFromText="180" w:rightFromText="180" w:vertAnchor="text" w:horzAnchor="page" w:tblpX="1141" w:tblpY="282"/>
        <w:tblOverlap w:val="never"/>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4926"/>
        <w:gridCol w:w="93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755" w:type="dxa"/>
          </w:tcPr>
          <w:p>
            <w:pPr>
              <w:jc w:val="center"/>
              <w:rPr>
                <w:szCs w:val="21"/>
              </w:rPr>
            </w:pPr>
            <w:r>
              <w:rPr>
                <w:rFonts w:hint="eastAsia"/>
                <w:szCs w:val="21"/>
              </w:rPr>
              <w:t>成果种类</w:t>
            </w:r>
          </w:p>
        </w:tc>
        <w:tc>
          <w:tcPr>
            <w:tcW w:w="4926" w:type="dxa"/>
          </w:tcPr>
          <w:p>
            <w:pPr>
              <w:jc w:val="center"/>
              <w:rPr>
                <w:szCs w:val="21"/>
              </w:rPr>
            </w:pPr>
            <w:r>
              <w:rPr>
                <w:rFonts w:hint="eastAsia"/>
                <w:szCs w:val="21"/>
              </w:rPr>
              <w:t>成果范畴</w:t>
            </w:r>
          </w:p>
        </w:tc>
        <w:tc>
          <w:tcPr>
            <w:tcW w:w="932" w:type="dxa"/>
          </w:tcPr>
          <w:p>
            <w:pPr>
              <w:jc w:val="center"/>
              <w:rPr>
                <w:szCs w:val="21"/>
              </w:rPr>
            </w:pPr>
            <w:r>
              <w:rPr>
                <w:rFonts w:hint="eastAsia"/>
                <w:szCs w:val="21"/>
              </w:rPr>
              <w:t>标准分</w:t>
            </w:r>
          </w:p>
        </w:tc>
        <w:tc>
          <w:tcPr>
            <w:tcW w:w="2337"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5" w:type="dxa"/>
            <w:vMerge w:val="restart"/>
            <w:vAlign w:val="center"/>
          </w:tcPr>
          <w:p>
            <w:pPr>
              <w:jc w:val="center"/>
              <w:rPr>
                <w:rFonts w:hint="eastAsia"/>
                <w:szCs w:val="21"/>
              </w:rPr>
            </w:pPr>
            <w:r>
              <w:rPr>
                <w:rFonts w:hint="eastAsia"/>
                <w:szCs w:val="21"/>
                <w:lang w:eastAsia="zh-CN"/>
              </w:rPr>
              <w:t>研究生学术论坛</w:t>
            </w:r>
          </w:p>
        </w:tc>
        <w:tc>
          <w:tcPr>
            <w:tcW w:w="4926" w:type="dxa"/>
            <w:vAlign w:val="center"/>
          </w:tcPr>
          <w:p>
            <w:pPr>
              <w:jc w:val="both"/>
              <w:rPr>
                <w:rFonts w:hint="eastAsia" w:asciiTheme="minorEastAsia" w:hAnsiTheme="minorEastAsia" w:cstheme="minorEastAsia"/>
                <w:szCs w:val="21"/>
              </w:rPr>
            </w:pPr>
            <w:r>
              <w:rPr>
                <w:rFonts w:hint="eastAsia" w:asciiTheme="minorEastAsia" w:hAnsiTheme="minorEastAsia" w:cstheme="minorEastAsia"/>
                <w:szCs w:val="21"/>
                <w:lang w:eastAsia="zh-CN"/>
              </w:rPr>
              <w:t>上海市级研究生学术论坛（二等奖及以上）</w:t>
            </w:r>
          </w:p>
        </w:tc>
        <w:tc>
          <w:tcPr>
            <w:tcW w:w="932" w:type="dxa"/>
            <w:vAlign w:val="center"/>
          </w:tcPr>
          <w:p>
            <w:pPr>
              <w:jc w:val="both"/>
              <w:rPr>
                <w:rFonts w:hint="eastAsia"/>
                <w:szCs w:val="21"/>
              </w:rPr>
            </w:pPr>
            <w:r>
              <w:rPr>
                <w:rFonts w:hint="eastAsia"/>
                <w:szCs w:val="21"/>
                <w:lang w:val="en-US" w:eastAsia="zh-CN"/>
              </w:rPr>
              <w:t>1</w:t>
            </w:r>
          </w:p>
        </w:tc>
        <w:tc>
          <w:tcPr>
            <w:tcW w:w="2337" w:type="dxa"/>
            <w:vMerge w:val="restart"/>
            <w:vAlign w:val="center"/>
          </w:tcPr>
          <w:p>
            <w:pPr>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5" w:type="dxa"/>
            <w:vMerge w:val="continue"/>
            <w:vAlign w:val="center"/>
          </w:tcPr>
          <w:p>
            <w:pPr>
              <w:jc w:val="center"/>
              <w:rPr>
                <w:rFonts w:hint="eastAsia"/>
                <w:szCs w:val="21"/>
              </w:rPr>
            </w:pPr>
          </w:p>
        </w:tc>
        <w:tc>
          <w:tcPr>
            <w:tcW w:w="4926" w:type="dxa"/>
            <w:vAlign w:val="center"/>
          </w:tcPr>
          <w:p>
            <w:pPr>
              <w:jc w:val="both"/>
              <w:rPr>
                <w:rFonts w:hint="eastAsia" w:asciiTheme="minorEastAsia" w:hAnsiTheme="minorEastAsia" w:cstheme="minorEastAsia"/>
                <w:szCs w:val="21"/>
              </w:rPr>
            </w:pPr>
            <w:r>
              <w:rPr>
                <w:rFonts w:hint="eastAsia" w:asciiTheme="minorEastAsia" w:hAnsiTheme="minorEastAsia" w:cstheme="minorEastAsia"/>
                <w:szCs w:val="21"/>
                <w:lang w:eastAsia="zh-CN"/>
              </w:rPr>
              <w:t>上海市级研究生学术论坛（三等奖）</w:t>
            </w:r>
          </w:p>
        </w:tc>
        <w:tc>
          <w:tcPr>
            <w:tcW w:w="932" w:type="dxa"/>
            <w:vAlign w:val="center"/>
          </w:tcPr>
          <w:p>
            <w:pPr>
              <w:jc w:val="both"/>
              <w:rPr>
                <w:rFonts w:hint="eastAsia"/>
                <w:szCs w:val="21"/>
              </w:rPr>
            </w:pPr>
            <w:r>
              <w:rPr>
                <w:rFonts w:hint="eastAsia"/>
                <w:szCs w:val="21"/>
                <w:lang w:val="en-US" w:eastAsia="zh-CN"/>
              </w:rPr>
              <w:t>0.5</w:t>
            </w:r>
          </w:p>
        </w:tc>
        <w:tc>
          <w:tcPr>
            <w:tcW w:w="2337" w:type="dxa"/>
            <w:vMerge w:val="continue"/>
            <w:vAlign w:val="center"/>
          </w:tcPr>
          <w:p>
            <w:pPr>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5" w:type="dxa"/>
            <w:vMerge w:val="continue"/>
            <w:vAlign w:val="center"/>
          </w:tcPr>
          <w:p>
            <w:pPr>
              <w:jc w:val="center"/>
              <w:rPr>
                <w:rFonts w:hint="eastAsia"/>
                <w:szCs w:val="21"/>
              </w:rPr>
            </w:pPr>
          </w:p>
        </w:tc>
        <w:tc>
          <w:tcPr>
            <w:tcW w:w="4926" w:type="dxa"/>
            <w:vAlign w:val="center"/>
          </w:tcPr>
          <w:p>
            <w:pPr>
              <w:jc w:val="both"/>
              <w:rPr>
                <w:rFonts w:hint="eastAsia" w:asciiTheme="minorEastAsia" w:hAnsiTheme="minorEastAsia" w:cstheme="minorEastAsia"/>
                <w:szCs w:val="21"/>
              </w:rPr>
            </w:pPr>
            <w:r>
              <w:rPr>
                <w:rFonts w:hint="eastAsia" w:asciiTheme="minorEastAsia" w:hAnsiTheme="minorEastAsia" w:cstheme="minorEastAsia"/>
                <w:szCs w:val="21"/>
                <w:lang w:eastAsia="zh-CN"/>
              </w:rPr>
              <w:t>本校举办的研究生创新学术论坛（一等奖及以上）</w:t>
            </w:r>
          </w:p>
        </w:tc>
        <w:tc>
          <w:tcPr>
            <w:tcW w:w="932" w:type="dxa"/>
            <w:vAlign w:val="center"/>
          </w:tcPr>
          <w:p>
            <w:pPr>
              <w:jc w:val="both"/>
              <w:rPr>
                <w:rFonts w:hint="eastAsia"/>
                <w:szCs w:val="21"/>
              </w:rPr>
            </w:pPr>
            <w:r>
              <w:rPr>
                <w:rFonts w:hint="eastAsia"/>
                <w:szCs w:val="21"/>
                <w:lang w:val="en-US" w:eastAsia="zh-CN"/>
              </w:rPr>
              <w:t>1</w:t>
            </w:r>
          </w:p>
        </w:tc>
        <w:tc>
          <w:tcPr>
            <w:tcW w:w="2337" w:type="dxa"/>
            <w:vMerge w:val="continue"/>
            <w:vAlign w:val="center"/>
          </w:tcPr>
          <w:p>
            <w:pPr>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5" w:type="dxa"/>
            <w:vMerge w:val="continue"/>
            <w:vAlign w:val="center"/>
          </w:tcPr>
          <w:p>
            <w:pPr>
              <w:jc w:val="center"/>
              <w:rPr>
                <w:rFonts w:hint="eastAsia"/>
                <w:szCs w:val="21"/>
              </w:rPr>
            </w:pPr>
          </w:p>
        </w:tc>
        <w:tc>
          <w:tcPr>
            <w:tcW w:w="4926" w:type="dxa"/>
            <w:vAlign w:val="center"/>
          </w:tcPr>
          <w:p>
            <w:pPr>
              <w:jc w:val="both"/>
              <w:rPr>
                <w:rFonts w:hint="eastAsia" w:asciiTheme="minorEastAsia" w:hAnsiTheme="minorEastAsia" w:cstheme="minorEastAsia"/>
                <w:szCs w:val="21"/>
              </w:rPr>
            </w:pPr>
            <w:r>
              <w:rPr>
                <w:rFonts w:hint="eastAsia" w:asciiTheme="minorEastAsia" w:hAnsiTheme="minorEastAsia" w:cstheme="minorEastAsia"/>
                <w:szCs w:val="21"/>
                <w:lang w:eastAsia="zh-CN"/>
              </w:rPr>
              <w:t>本校举办的研究生创新学术论坛（二等奖）</w:t>
            </w:r>
          </w:p>
        </w:tc>
        <w:tc>
          <w:tcPr>
            <w:tcW w:w="932" w:type="dxa"/>
            <w:vAlign w:val="center"/>
          </w:tcPr>
          <w:p>
            <w:pPr>
              <w:jc w:val="both"/>
              <w:rPr>
                <w:rFonts w:hint="eastAsia"/>
                <w:szCs w:val="21"/>
              </w:rPr>
            </w:pPr>
            <w:r>
              <w:rPr>
                <w:rFonts w:hint="eastAsia"/>
                <w:szCs w:val="21"/>
                <w:lang w:val="en-US" w:eastAsia="zh-CN"/>
              </w:rPr>
              <w:t>0.5</w:t>
            </w:r>
          </w:p>
        </w:tc>
        <w:tc>
          <w:tcPr>
            <w:tcW w:w="2337" w:type="dxa"/>
            <w:vMerge w:val="continue"/>
            <w:vAlign w:val="center"/>
          </w:tcPr>
          <w:p>
            <w:pPr>
              <w:jc w:val="both"/>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5" w:type="dxa"/>
            <w:vMerge w:val="restart"/>
            <w:vAlign w:val="center"/>
          </w:tcPr>
          <w:p>
            <w:pPr>
              <w:jc w:val="center"/>
              <w:rPr>
                <w:szCs w:val="21"/>
              </w:rPr>
            </w:pPr>
            <w:r>
              <w:rPr>
                <w:rFonts w:hint="eastAsia"/>
                <w:szCs w:val="21"/>
              </w:rPr>
              <w:t>案例</w:t>
            </w: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被国内主要案例中心收录（大连理工大学管理与经济学部、清华经济管理学院、中欧国际工商学院</w:t>
            </w:r>
            <w:r>
              <w:rPr>
                <w:rFonts w:hint="eastAsia" w:asciiTheme="minorEastAsia" w:hAnsiTheme="minorEastAsia" w:cstheme="minorEastAsia"/>
                <w:szCs w:val="21"/>
                <w:lang w:eastAsia="zh-CN"/>
              </w:rPr>
              <w:t>、天津大学</w:t>
            </w:r>
            <w:r>
              <w:rPr>
                <w:rFonts w:hint="eastAsia" w:asciiTheme="minorEastAsia" w:hAnsiTheme="minorEastAsia" w:cstheme="minorEastAsia"/>
                <w:szCs w:val="21"/>
              </w:rPr>
              <w:t>）</w:t>
            </w:r>
          </w:p>
        </w:tc>
        <w:tc>
          <w:tcPr>
            <w:tcW w:w="932" w:type="dxa"/>
            <w:vAlign w:val="center"/>
          </w:tcPr>
          <w:p>
            <w:pPr>
              <w:jc w:val="both"/>
              <w:rPr>
                <w:szCs w:val="21"/>
              </w:rPr>
            </w:pPr>
            <w:r>
              <w:rPr>
                <w:rFonts w:hint="eastAsia"/>
                <w:szCs w:val="21"/>
              </w:rPr>
              <w:t>4</w:t>
            </w:r>
          </w:p>
        </w:tc>
        <w:tc>
          <w:tcPr>
            <w:tcW w:w="2337" w:type="dxa"/>
            <w:vMerge w:val="restart"/>
            <w:vAlign w:val="center"/>
          </w:tcPr>
          <w:p>
            <w:pPr>
              <w:jc w:val="both"/>
              <w:rPr>
                <w:szCs w:val="21"/>
              </w:rPr>
            </w:pPr>
            <w:r>
              <w:rPr>
                <w:rFonts w:hint="eastAsia"/>
                <w:szCs w:val="21"/>
              </w:rPr>
              <w:t>仅适用于企业管理、旅游管理、项目管理、MBA、EMBA及MEM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vAlign w:val="center"/>
          </w:tcPr>
          <w:p>
            <w:pPr>
              <w:jc w:val="center"/>
              <w:rPr>
                <w:szCs w:val="21"/>
              </w:rPr>
            </w:pPr>
          </w:p>
        </w:tc>
        <w:tc>
          <w:tcPr>
            <w:tcW w:w="4926" w:type="dxa"/>
            <w:vAlign w:val="center"/>
          </w:tcPr>
          <w:p>
            <w:pPr>
              <w:jc w:val="both"/>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学院可根据需要自行组织考核，成绩合格</w:t>
            </w:r>
          </w:p>
        </w:tc>
        <w:tc>
          <w:tcPr>
            <w:tcW w:w="932" w:type="dxa"/>
            <w:vAlign w:val="center"/>
          </w:tcPr>
          <w:p>
            <w:pPr>
              <w:jc w:val="both"/>
              <w:rPr>
                <w:rFonts w:hint="eastAsia" w:eastAsiaTheme="minorEastAsia"/>
                <w:szCs w:val="21"/>
                <w:lang w:val="en-US" w:eastAsia="zh-CN"/>
              </w:rPr>
            </w:pPr>
            <w:r>
              <w:rPr>
                <w:rFonts w:hint="eastAsia"/>
                <w:szCs w:val="21"/>
                <w:lang w:val="en-US" w:eastAsia="zh-CN"/>
              </w:rPr>
              <w:t>0.5</w:t>
            </w:r>
          </w:p>
        </w:tc>
        <w:tc>
          <w:tcPr>
            <w:tcW w:w="2337" w:type="dxa"/>
            <w:vMerge w:val="continue"/>
            <w:vAlign w:val="center"/>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vAlign w:val="center"/>
          </w:tcPr>
          <w:p>
            <w:pPr>
              <w:jc w:val="center"/>
              <w:rPr>
                <w:szCs w:val="21"/>
              </w:rPr>
            </w:pPr>
          </w:p>
        </w:tc>
        <w:tc>
          <w:tcPr>
            <w:tcW w:w="4926" w:type="dxa"/>
            <w:vAlign w:val="center"/>
          </w:tcPr>
          <w:p>
            <w:pPr>
              <w:jc w:val="both"/>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被全国性的法律硕士教指委指导建设的案例库收录</w:t>
            </w:r>
          </w:p>
        </w:tc>
        <w:tc>
          <w:tcPr>
            <w:tcW w:w="932" w:type="dxa"/>
            <w:vAlign w:val="center"/>
          </w:tcPr>
          <w:p>
            <w:pPr>
              <w:jc w:val="both"/>
              <w:rPr>
                <w:rFonts w:hint="eastAsia"/>
                <w:szCs w:val="21"/>
                <w:lang w:val="en-US" w:eastAsia="zh-CN"/>
              </w:rPr>
            </w:pPr>
            <w:r>
              <w:rPr>
                <w:rFonts w:hint="eastAsia"/>
                <w:szCs w:val="21"/>
                <w:lang w:val="en-US" w:eastAsia="zh-CN"/>
              </w:rPr>
              <w:t>1</w:t>
            </w:r>
          </w:p>
        </w:tc>
        <w:tc>
          <w:tcPr>
            <w:tcW w:w="2337" w:type="dxa"/>
            <w:vAlign w:val="center"/>
          </w:tcPr>
          <w:p>
            <w:pPr>
              <w:jc w:val="both"/>
              <w:rPr>
                <w:rFonts w:hint="eastAsia" w:eastAsiaTheme="minorEastAsia"/>
                <w:szCs w:val="21"/>
                <w:lang w:eastAsia="zh-CN"/>
              </w:rPr>
            </w:pPr>
            <w:r>
              <w:rPr>
                <w:rFonts w:hint="eastAsia"/>
                <w:szCs w:val="21"/>
                <w:lang w:eastAsia="zh-CN"/>
              </w:rPr>
              <w:t>仅适用于法学硕士、法律硕士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restart"/>
            <w:vAlign w:val="center"/>
          </w:tcPr>
          <w:p>
            <w:pPr>
              <w:jc w:val="center"/>
              <w:rPr>
                <w:szCs w:val="21"/>
              </w:rPr>
            </w:pPr>
            <w:r>
              <w:rPr>
                <w:rFonts w:hint="eastAsia"/>
                <w:szCs w:val="21"/>
              </w:rPr>
              <w:t>证书考试</w:t>
            </w: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通过英国特许注册会计师（ACCA）考试</w:t>
            </w:r>
          </w:p>
        </w:tc>
        <w:tc>
          <w:tcPr>
            <w:tcW w:w="932" w:type="dxa"/>
            <w:vAlign w:val="center"/>
          </w:tcPr>
          <w:p>
            <w:pPr>
              <w:jc w:val="both"/>
              <w:rPr>
                <w:szCs w:val="21"/>
              </w:rPr>
            </w:pPr>
            <w:r>
              <w:rPr>
                <w:rFonts w:hint="eastAsia"/>
                <w:szCs w:val="21"/>
              </w:rPr>
              <w:t>2</w:t>
            </w:r>
          </w:p>
        </w:tc>
        <w:tc>
          <w:tcPr>
            <w:tcW w:w="2337" w:type="dxa"/>
            <w:vMerge w:val="restart"/>
            <w:vAlign w:val="center"/>
          </w:tcPr>
          <w:p>
            <w:pPr>
              <w:jc w:val="both"/>
              <w:rPr>
                <w:szCs w:val="21"/>
              </w:rPr>
            </w:pPr>
            <w:r>
              <w:rPr>
                <w:rFonts w:hint="eastAsia"/>
                <w:szCs w:val="21"/>
              </w:rPr>
              <w:t>仅适用于会计学、财务管理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tcPr>
          <w:p>
            <w:pPr>
              <w:rPr>
                <w:szCs w:val="21"/>
              </w:rPr>
            </w:pP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参加中国会计学会财务成本分会、中国会计学会高等工科院校分会、长三角研究生论坛获奖</w:t>
            </w:r>
          </w:p>
        </w:tc>
        <w:tc>
          <w:tcPr>
            <w:tcW w:w="932" w:type="dxa"/>
            <w:vAlign w:val="center"/>
          </w:tcPr>
          <w:p>
            <w:pPr>
              <w:jc w:val="both"/>
              <w:rPr>
                <w:szCs w:val="21"/>
              </w:rPr>
            </w:pPr>
            <w:r>
              <w:rPr>
                <w:rFonts w:hint="eastAsia"/>
                <w:szCs w:val="21"/>
              </w:rPr>
              <w:t>1</w:t>
            </w:r>
          </w:p>
        </w:tc>
        <w:tc>
          <w:tcPr>
            <w:tcW w:w="2337" w:type="dxa"/>
            <w:vMerge w:val="continue"/>
            <w:vAlign w:val="center"/>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tcPr>
          <w:p>
            <w:pPr>
              <w:rPr>
                <w:szCs w:val="21"/>
              </w:rPr>
            </w:pP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注册会计师（CPA）考试通过2门</w:t>
            </w:r>
          </w:p>
        </w:tc>
        <w:tc>
          <w:tcPr>
            <w:tcW w:w="932" w:type="dxa"/>
            <w:vAlign w:val="center"/>
          </w:tcPr>
          <w:p>
            <w:pPr>
              <w:jc w:val="both"/>
              <w:rPr>
                <w:szCs w:val="21"/>
              </w:rPr>
            </w:pPr>
            <w:r>
              <w:rPr>
                <w:rFonts w:hint="eastAsia"/>
                <w:szCs w:val="21"/>
              </w:rPr>
              <w:t>0.5</w:t>
            </w:r>
          </w:p>
        </w:tc>
        <w:tc>
          <w:tcPr>
            <w:tcW w:w="2337" w:type="dxa"/>
            <w:vMerge w:val="continue"/>
            <w:vAlign w:val="center"/>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tcPr>
          <w:p>
            <w:pPr>
              <w:rPr>
                <w:szCs w:val="21"/>
              </w:rPr>
            </w:pP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CFA一级合格（国际注册金融分析师）、FAM一级合格（全球金融风险管理师）证书</w:t>
            </w:r>
          </w:p>
        </w:tc>
        <w:tc>
          <w:tcPr>
            <w:tcW w:w="932" w:type="dxa"/>
            <w:vAlign w:val="center"/>
          </w:tcPr>
          <w:p>
            <w:pPr>
              <w:jc w:val="both"/>
              <w:rPr>
                <w:szCs w:val="21"/>
              </w:rPr>
            </w:pPr>
            <w:r>
              <w:rPr>
                <w:rFonts w:hint="eastAsia"/>
                <w:szCs w:val="21"/>
              </w:rPr>
              <w:t>1</w:t>
            </w:r>
          </w:p>
        </w:tc>
        <w:tc>
          <w:tcPr>
            <w:tcW w:w="2337" w:type="dxa"/>
            <w:vAlign w:val="center"/>
          </w:tcPr>
          <w:p>
            <w:pPr>
              <w:jc w:val="both"/>
              <w:rPr>
                <w:szCs w:val="21"/>
              </w:rPr>
            </w:pPr>
            <w:r>
              <w:rPr>
                <w:rFonts w:hint="eastAsia"/>
                <w:szCs w:val="21"/>
              </w:rPr>
              <w:t>仅适用于经济类专业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Merge w:val="continue"/>
          </w:tcPr>
          <w:p>
            <w:pPr>
              <w:rPr>
                <w:rFonts w:asciiTheme="minorEastAsia" w:hAnsiTheme="minorEastAsia" w:cstheme="minorEastAsia"/>
                <w:szCs w:val="21"/>
              </w:rPr>
            </w:pP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rPr>
              <w:t>获得“上海市高级口译”证书、</w:t>
            </w:r>
            <w:r>
              <w:rPr>
                <w:rFonts w:hint="eastAsia" w:ascii="宋体" w:hAnsi="宋体" w:eastAsia="宋体" w:cs="宋体"/>
                <w:szCs w:val="21"/>
              </w:rPr>
              <w:t>人事部翻译资格考试（二级）证书</w:t>
            </w:r>
          </w:p>
        </w:tc>
        <w:tc>
          <w:tcPr>
            <w:tcW w:w="932" w:type="dxa"/>
            <w:vAlign w:val="center"/>
          </w:tcPr>
          <w:p>
            <w:pPr>
              <w:jc w:val="both"/>
              <w:rPr>
                <w:szCs w:val="21"/>
              </w:rPr>
            </w:pPr>
            <w:r>
              <w:rPr>
                <w:rFonts w:hint="eastAsia"/>
                <w:szCs w:val="21"/>
              </w:rPr>
              <w:t>1</w:t>
            </w:r>
          </w:p>
        </w:tc>
        <w:tc>
          <w:tcPr>
            <w:tcW w:w="2337" w:type="dxa"/>
            <w:vAlign w:val="center"/>
          </w:tcPr>
          <w:p>
            <w:pPr>
              <w:jc w:val="both"/>
              <w:rPr>
                <w:rFonts w:asciiTheme="minorEastAsia" w:hAnsiTheme="minorEastAsia" w:cstheme="minorEastAsia"/>
                <w:szCs w:val="21"/>
              </w:rPr>
            </w:pPr>
            <w:r>
              <w:rPr>
                <w:rFonts w:hint="eastAsia"/>
                <w:szCs w:val="21"/>
              </w:rPr>
              <w:t>仅适用于MTI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思政理论课教案</w:t>
            </w: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lang w:eastAsia="zh-CN"/>
              </w:rPr>
              <w:t>学院可根据需要自行组织考核，成绩合格</w:t>
            </w:r>
          </w:p>
        </w:tc>
        <w:tc>
          <w:tcPr>
            <w:tcW w:w="932" w:type="dxa"/>
            <w:vAlign w:val="center"/>
          </w:tcPr>
          <w:p>
            <w:pPr>
              <w:jc w:val="both"/>
              <w:rPr>
                <w:rFonts w:hint="eastAsia" w:eastAsiaTheme="minorEastAsia"/>
                <w:szCs w:val="21"/>
                <w:lang w:val="en-US" w:eastAsia="zh-CN"/>
              </w:rPr>
            </w:pPr>
            <w:r>
              <w:rPr>
                <w:rFonts w:hint="eastAsia"/>
                <w:szCs w:val="21"/>
                <w:lang w:val="en-US" w:eastAsia="zh-CN"/>
              </w:rPr>
              <w:t>0.5</w:t>
            </w:r>
          </w:p>
        </w:tc>
        <w:tc>
          <w:tcPr>
            <w:tcW w:w="2337" w:type="dxa"/>
            <w:vAlign w:val="center"/>
          </w:tcPr>
          <w:p>
            <w:pPr>
              <w:jc w:val="both"/>
              <w:rPr>
                <w:rFonts w:asciiTheme="minorEastAsia" w:hAnsiTheme="minorEastAsia" w:cstheme="minorEastAsia"/>
                <w:szCs w:val="21"/>
              </w:rPr>
            </w:pPr>
            <w:r>
              <w:rPr>
                <w:rFonts w:hint="eastAsia"/>
                <w:szCs w:val="21"/>
              </w:rPr>
              <w:t>仅适用于</w:t>
            </w:r>
            <w:r>
              <w:rPr>
                <w:rFonts w:hint="eastAsia" w:asciiTheme="minorEastAsia" w:hAnsiTheme="minorEastAsia" w:cstheme="minorEastAsia"/>
                <w:szCs w:val="21"/>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Align w:val="center"/>
          </w:tcPr>
          <w:p>
            <w:pPr>
              <w:jc w:val="center"/>
              <w:rPr>
                <w:szCs w:val="21"/>
              </w:rPr>
            </w:pPr>
            <w:r>
              <w:rPr>
                <w:rFonts w:hint="eastAsia"/>
                <w:szCs w:val="21"/>
              </w:rPr>
              <w:t>毕业资格考试</w:t>
            </w:r>
          </w:p>
        </w:tc>
        <w:tc>
          <w:tcPr>
            <w:tcW w:w="4926" w:type="dxa"/>
            <w:vAlign w:val="center"/>
          </w:tcPr>
          <w:p>
            <w:pPr>
              <w:jc w:val="both"/>
              <w:rPr>
                <w:rFonts w:asciiTheme="minorEastAsia" w:hAnsiTheme="minorEastAsia" w:cstheme="minorEastAsia"/>
                <w:szCs w:val="21"/>
              </w:rPr>
            </w:pPr>
            <w:r>
              <w:rPr>
                <w:rFonts w:hint="eastAsia" w:asciiTheme="minorEastAsia" w:hAnsiTheme="minorEastAsia" w:cstheme="minorEastAsia"/>
                <w:szCs w:val="21"/>
                <w:lang w:eastAsia="zh-CN"/>
              </w:rPr>
              <w:t>学院可根据需要自行组织考核，成绩合格</w:t>
            </w:r>
          </w:p>
        </w:tc>
        <w:tc>
          <w:tcPr>
            <w:tcW w:w="932" w:type="dxa"/>
            <w:vAlign w:val="center"/>
          </w:tcPr>
          <w:p>
            <w:pPr>
              <w:jc w:val="both"/>
              <w:rPr>
                <w:rFonts w:hint="eastAsia" w:eastAsiaTheme="minorEastAsia"/>
                <w:szCs w:val="21"/>
                <w:lang w:val="en-US" w:eastAsia="zh-CN"/>
              </w:rPr>
            </w:pPr>
            <w:r>
              <w:rPr>
                <w:rFonts w:hint="eastAsia"/>
                <w:szCs w:val="21"/>
                <w:lang w:val="en-US" w:eastAsia="zh-CN"/>
              </w:rPr>
              <w:t>0.5</w:t>
            </w:r>
          </w:p>
        </w:tc>
        <w:tc>
          <w:tcPr>
            <w:tcW w:w="2337" w:type="dxa"/>
            <w:vAlign w:val="center"/>
          </w:tcPr>
          <w:p>
            <w:pPr>
              <w:jc w:val="both"/>
              <w:rPr>
                <w:szCs w:val="21"/>
              </w:rPr>
            </w:pPr>
            <w:r>
              <w:rPr>
                <w:rFonts w:hint="eastAsia"/>
                <w:szCs w:val="21"/>
              </w:rPr>
              <w:t>仅适用于MTI</w:t>
            </w:r>
          </w:p>
        </w:tc>
      </w:tr>
    </w:tbl>
    <w:p>
      <w:pPr>
        <w:spacing w:line="440" w:lineRule="exact"/>
        <w:rPr>
          <w:color w:val="000000" w:themeColor="text1"/>
          <w:sz w:val="24"/>
        </w:rPr>
      </w:pPr>
    </w:p>
    <w:p>
      <w:pPr>
        <w:spacing w:line="440" w:lineRule="exact"/>
        <w:rPr>
          <w:color w:val="000000" w:themeColor="text1"/>
          <w:sz w:val="24"/>
        </w:rPr>
      </w:pPr>
    </w:p>
    <w:p>
      <w:pPr>
        <w:numPr>
          <w:ilvl w:val="0"/>
          <w:numId w:val="1"/>
        </w:numPr>
        <w:spacing w:line="440" w:lineRule="exact"/>
        <w:rPr>
          <w:sz w:val="24"/>
        </w:rPr>
      </w:pPr>
      <w:r>
        <w:rPr>
          <w:rFonts w:hint="eastAsia"/>
          <w:b/>
          <w:bCs/>
          <w:sz w:val="28"/>
        </w:rPr>
        <w:t>成果要求</w:t>
      </w:r>
    </w:p>
    <w:p>
      <w:pPr>
        <w:spacing w:line="440" w:lineRule="exact"/>
        <w:ind w:firstLine="424" w:firstLineChars="177"/>
        <w:rPr>
          <w:rFonts w:hint="eastAsia"/>
          <w:sz w:val="24"/>
        </w:rPr>
      </w:pPr>
    </w:p>
    <w:p>
      <w:pPr>
        <w:spacing w:line="440" w:lineRule="exact"/>
        <w:ind w:firstLine="424" w:firstLineChars="177"/>
        <w:rPr>
          <w:rFonts w:hint="eastAsia"/>
          <w:sz w:val="24"/>
        </w:rPr>
      </w:pPr>
      <w:r>
        <w:rPr>
          <w:rFonts w:hint="eastAsia"/>
          <w:sz w:val="24"/>
        </w:rPr>
        <w:t>各类研究生申请进入论文答辩环节时，个人成果计分须达到以下标准：</w:t>
      </w:r>
    </w:p>
    <w:tbl>
      <w:tblPr>
        <w:tblStyle w:val="10"/>
        <w:tblpPr w:leftFromText="180" w:rightFromText="180" w:vertAnchor="text" w:horzAnchor="page" w:tblpX="1338" w:tblpY="196"/>
        <w:tblOverlap w:val="never"/>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65"/>
        <w:gridCol w:w="765"/>
        <w:gridCol w:w="1305"/>
        <w:gridCol w:w="1650"/>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jc w:val="center"/>
              <w:rPr>
                <w:szCs w:val="21"/>
              </w:rPr>
            </w:pPr>
            <w:r>
              <w:rPr>
                <w:rFonts w:hint="eastAsia"/>
                <w:szCs w:val="21"/>
              </w:rPr>
              <w:t>学位类别</w:t>
            </w:r>
          </w:p>
        </w:tc>
        <w:tc>
          <w:tcPr>
            <w:tcW w:w="2565" w:type="dxa"/>
            <w:vMerge w:val="restart"/>
            <w:vAlign w:val="center"/>
          </w:tcPr>
          <w:p>
            <w:pPr>
              <w:jc w:val="center"/>
              <w:rPr>
                <w:szCs w:val="21"/>
              </w:rPr>
            </w:pPr>
            <w:r>
              <w:rPr>
                <w:rFonts w:hint="eastAsia"/>
                <w:szCs w:val="21"/>
              </w:rPr>
              <w:t>学科</w:t>
            </w:r>
          </w:p>
        </w:tc>
        <w:tc>
          <w:tcPr>
            <w:tcW w:w="765" w:type="dxa"/>
            <w:vMerge w:val="restart"/>
            <w:vAlign w:val="center"/>
          </w:tcPr>
          <w:p>
            <w:pPr>
              <w:jc w:val="center"/>
              <w:rPr>
                <w:szCs w:val="21"/>
              </w:rPr>
            </w:pPr>
            <w:r>
              <w:rPr>
                <w:rFonts w:hint="eastAsia"/>
                <w:szCs w:val="21"/>
              </w:rPr>
              <w:t>学制</w:t>
            </w:r>
          </w:p>
        </w:tc>
        <w:tc>
          <w:tcPr>
            <w:tcW w:w="2955" w:type="dxa"/>
            <w:gridSpan w:val="2"/>
            <w:vAlign w:val="center"/>
          </w:tcPr>
          <w:p>
            <w:pPr>
              <w:jc w:val="center"/>
              <w:rPr>
                <w:szCs w:val="21"/>
              </w:rPr>
            </w:pPr>
            <w:r>
              <w:rPr>
                <w:rFonts w:hint="eastAsia"/>
                <w:szCs w:val="21"/>
              </w:rPr>
              <w:t>分值要求</w:t>
            </w:r>
          </w:p>
        </w:tc>
        <w:tc>
          <w:tcPr>
            <w:tcW w:w="2428" w:type="dxa"/>
            <w:vMerge w:val="restart"/>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Merge w:val="continue"/>
            <w:vAlign w:val="center"/>
          </w:tcPr>
          <w:p>
            <w:pPr>
              <w:jc w:val="center"/>
              <w:rPr>
                <w:szCs w:val="21"/>
              </w:rPr>
            </w:pPr>
          </w:p>
        </w:tc>
        <w:tc>
          <w:tcPr>
            <w:tcW w:w="765" w:type="dxa"/>
            <w:vMerge w:val="continue"/>
            <w:vAlign w:val="center"/>
          </w:tcPr>
          <w:p>
            <w:pPr>
              <w:jc w:val="center"/>
              <w:rPr>
                <w:szCs w:val="21"/>
              </w:rPr>
            </w:pPr>
          </w:p>
        </w:tc>
        <w:tc>
          <w:tcPr>
            <w:tcW w:w="1305" w:type="dxa"/>
            <w:vAlign w:val="center"/>
          </w:tcPr>
          <w:p>
            <w:pPr>
              <w:jc w:val="center"/>
              <w:rPr>
                <w:szCs w:val="21"/>
              </w:rPr>
            </w:pPr>
            <w:r>
              <w:rPr>
                <w:rFonts w:hint="eastAsia"/>
                <w:szCs w:val="21"/>
              </w:rPr>
              <w:t>四年内毕业</w:t>
            </w:r>
          </w:p>
        </w:tc>
        <w:tc>
          <w:tcPr>
            <w:tcW w:w="1650" w:type="dxa"/>
            <w:vAlign w:val="center"/>
          </w:tcPr>
          <w:p>
            <w:pPr>
              <w:jc w:val="center"/>
              <w:rPr>
                <w:szCs w:val="21"/>
              </w:rPr>
            </w:pPr>
            <w:r>
              <w:rPr>
                <w:rFonts w:hint="eastAsia"/>
                <w:szCs w:val="21"/>
              </w:rPr>
              <w:t>四年后毕业</w:t>
            </w:r>
          </w:p>
        </w:tc>
        <w:tc>
          <w:tcPr>
            <w:tcW w:w="242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jc w:val="center"/>
              <w:rPr>
                <w:szCs w:val="21"/>
              </w:rPr>
            </w:pPr>
            <w:r>
              <w:rPr>
                <w:rFonts w:hint="eastAsia"/>
                <w:szCs w:val="21"/>
              </w:rPr>
              <w:t>博士学位</w:t>
            </w:r>
          </w:p>
        </w:tc>
        <w:tc>
          <w:tcPr>
            <w:tcW w:w="2565" w:type="dxa"/>
            <w:vAlign w:val="center"/>
          </w:tcPr>
          <w:p>
            <w:pPr>
              <w:jc w:val="center"/>
              <w:rPr>
                <w:szCs w:val="21"/>
              </w:rPr>
            </w:pPr>
            <w:r>
              <w:rPr>
                <w:rFonts w:hint="eastAsia"/>
                <w:szCs w:val="21"/>
              </w:rPr>
              <w:t>电力电子与电力传动</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w:t>
            </w:r>
            <w:r>
              <w:rPr>
                <w:rFonts w:hint="eastAsia"/>
                <w:szCs w:val="21"/>
                <w:lang w:val="en-US" w:eastAsia="zh-CN"/>
              </w:rPr>
              <w:t>6+6</w:t>
            </w:r>
          </w:p>
        </w:tc>
        <w:tc>
          <w:tcPr>
            <w:tcW w:w="1650" w:type="dxa"/>
            <w:vAlign w:val="center"/>
          </w:tcPr>
          <w:p>
            <w:pPr>
              <w:jc w:val="center"/>
              <w:rPr>
                <w:szCs w:val="21"/>
              </w:rPr>
            </w:pPr>
            <w:r>
              <w:rPr>
                <w:rFonts w:hint="eastAsia"/>
                <w:szCs w:val="21"/>
              </w:rPr>
              <w:t>≥</w:t>
            </w:r>
            <w:r>
              <w:rPr>
                <w:rFonts w:hint="eastAsia"/>
                <w:szCs w:val="21"/>
                <w:lang w:val="en-US" w:eastAsia="zh-CN"/>
              </w:rPr>
              <w:t>6</w:t>
            </w:r>
            <w:r>
              <w:rPr>
                <w:rFonts w:hint="eastAsia"/>
                <w:szCs w:val="21"/>
              </w:rPr>
              <w:t>+6</w:t>
            </w:r>
          </w:p>
        </w:tc>
        <w:tc>
          <w:tcPr>
            <w:tcW w:w="2428" w:type="dxa"/>
            <w:vMerge w:val="restart"/>
          </w:tcPr>
          <w:p>
            <w:pPr>
              <w:numPr>
                <w:ilvl w:val="0"/>
                <w:numId w:val="8"/>
              </w:numPr>
              <w:rPr>
                <w:rFonts w:hint="eastAsia"/>
                <w:szCs w:val="21"/>
              </w:rPr>
            </w:pPr>
            <w:r>
              <w:rPr>
                <w:rFonts w:hint="eastAsia"/>
                <w:szCs w:val="21"/>
              </w:rPr>
              <w:t>均指单项论文成果分值</w:t>
            </w:r>
            <w:r>
              <w:rPr>
                <w:rFonts w:hint="eastAsia"/>
                <w:szCs w:val="21"/>
                <w:lang w:eastAsia="zh-CN"/>
              </w:rPr>
              <w:t>；</w:t>
            </w:r>
          </w:p>
          <w:p>
            <w:pPr>
              <w:numPr>
                <w:ilvl w:val="0"/>
                <w:numId w:val="8"/>
              </w:numPr>
              <w:rPr>
                <w:rFonts w:hint="eastAsia"/>
                <w:szCs w:val="21"/>
              </w:rPr>
            </w:pPr>
            <w:r>
              <w:rPr>
                <w:rFonts w:hint="eastAsia"/>
                <w:szCs w:val="21"/>
                <w:lang w:eastAsia="zh-CN"/>
              </w:rPr>
              <w:t>对拿到学校资助项目（境外访学或各类资助基金）的博士生，个人成果以项目中要求的等级和数量为准。</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信息管理与信息系统</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≥6+6</w:t>
            </w:r>
          </w:p>
        </w:tc>
        <w:tc>
          <w:tcPr>
            <w:tcW w:w="1650" w:type="dxa"/>
            <w:vAlign w:val="center"/>
          </w:tcPr>
          <w:p>
            <w:pPr>
              <w:jc w:val="center"/>
              <w:rPr>
                <w:szCs w:val="21"/>
              </w:rPr>
            </w:pPr>
            <w:r>
              <w:rPr>
                <w:rFonts w:hint="eastAsia"/>
                <w:szCs w:val="21"/>
              </w:rPr>
              <w:t>≥6+3+3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管理科学与工程</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≥6+6</w:t>
            </w:r>
          </w:p>
        </w:tc>
        <w:tc>
          <w:tcPr>
            <w:tcW w:w="1650" w:type="dxa"/>
            <w:vAlign w:val="center"/>
          </w:tcPr>
          <w:p>
            <w:pPr>
              <w:jc w:val="center"/>
              <w:rPr>
                <w:szCs w:val="21"/>
              </w:rPr>
            </w:pPr>
            <w:r>
              <w:rPr>
                <w:rFonts w:hint="eastAsia"/>
                <w:szCs w:val="21"/>
              </w:rPr>
              <w:t>≥6+3+3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bCs/>
                <w:szCs w:val="21"/>
              </w:rPr>
            </w:pPr>
            <w:r>
              <w:rPr>
                <w:rFonts w:hint="eastAsia"/>
                <w:bCs/>
                <w:szCs w:val="21"/>
              </w:rPr>
              <w:t>物流工程与管理</w:t>
            </w:r>
          </w:p>
        </w:tc>
        <w:tc>
          <w:tcPr>
            <w:tcW w:w="765" w:type="dxa"/>
            <w:vAlign w:val="center"/>
          </w:tcPr>
          <w:p>
            <w:pPr>
              <w:jc w:val="center"/>
              <w:rPr>
                <w:bCs/>
                <w:szCs w:val="21"/>
              </w:rPr>
            </w:pPr>
            <w:r>
              <w:rPr>
                <w:rFonts w:hint="eastAsia"/>
                <w:szCs w:val="21"/>
                <w:lang w:val="en-US" w:eastAsia="zh-CN"/>
              </w:rPr>
              <w:t>3</w:t>
            </w:r>
            <w:r>
              <w:rPr>
                <w:rFonts w:hint="eastAsia"/>
                <w:szCs w:val="21"/>
              </w:rPr>
              <w:t>年</w:t>
            </w:r>
          </w:p>
        </w:tc>
        <w:tc>
          <w:tcPr>
            <w:tcW w:w="1305" w:type="dxa"/>
            <w:vAlign w:val="center"/>
          </w:tcPr>
          <w:p>
            <w:pPr>
              <w:jc w:val="center"/>
              <w:rPr>
                <w:bCs/>
                <w:szCs w:val="21"/>
              </w:rPr>
            </w:pPr>
            <w:r>
              <w:rPr>
                <w:rFonts w:hint="eastAsia"/>
                <w:bCs/>
                <w:szCs w:val="21"/>
              </w:rPr>
              <w:t>≥6+6</w:t>
            </w:r>
          </w:p>
        </w:tc>
        <w:tc>
          <w:tcPr>
            <w:tcW w:w="1650" w:type="dxa"/>
            <w:vAlign w:val="center"/>
          </w:tcPr>
          <w:p>
            <w:pPr>
              <w:jc w:val="center"/>
              <w:rPr>
                <w:bCs/>
                <w:szCs w:val="21"/>
              </w:rPr>
            </w:pPr>
            <w:r>
              <w:rPr>
                <w:rFonts w:hint="eastAsia"/>
                <w:bCs/>
                <w:szCs w:val="21"/>
              </w:rPr>
              <w:t>≥6+3+3</w:t>
            </w:r>
          </w:p>
        </w:tc>
        <w:tc>
          <w:tcPr>
            <w:tcW w:w="2428" w:type="dxa"/>
            <w:vMerge w:val="continue"/>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海洋运输材料与防护工程</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≥6+6</w:t>
            </w:r>
          </w:p>
        </w:tc>
        <w:tc>
          <w:tcPr>
            <w:tcW w:w="1650" w:type="dxa"/>
            <w:vAlign w:val="center"/>
          </w:tcPr>
          <w:p>
            <w:pPr>
              <w:jc w:val="center"/>
              <w:rPr>
                <w:szCs w:val="21"/>
              </w:rPr>
            </w:pPr>
            <w:r>
              <w:rPr>
                <w:rFonts w:hint="eastAsia"/>
                <w:szCs w:val="21"/>
              </w:rPr>
              <w:t>≥6+3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交通运输规划与管理</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≥6+3</w:t>
            </w:r>
          </w:p>
        </w:tc>
        <w:tc>
          <w:tcPr>
            <w:tcW w:w="1650" w:type="dxa"/>
            <w:vAlign w:val="center"/>
          </w:tcPr>
          <w:p>
            <w:pPr>
              <w:jc w:val="center"/>
              <w:rPr>
                <w:szCs w:val="21"/>
              </w:rPr>
            </w:pPr>
            <w:r>
              <w:rPr>
                <w:rFonts w:hint="eastAsia"/>
                <w:szCs w:val="21"/>
              </w:rPr>
              <w:t>≥3+3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交通信息工程及控制</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≥6+3</w:t>
            </w:r>
          </w:p>
        </w:tc>
        <w:tc>
          <w:tcPr>
            <w:tcW w:w="1650" w:type="dxa"/>
            <w:vAlign w:val="center"/>
          </w:tcPr>
          <w:p>
            <w:pPr>
              <w:jc w:val="center"/>
              <w:rPr>
                <w:szCs w:val="21"/>
              </w:rPr>
            </w:pPr>
            <w:r>
              <w:rPr>
                <w:rFonts w:hint="eastAsia"/>
                <w:szCs w:val="21"/>
              </w:rPr>
              <w:t>≥3+3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载运工具运用工程</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≥6+3</w:t>
            </w:r>
          </w:p>
        </w:tc>
        <w:tc>
          <w:tcPr>
            <w:tcW w:w="1650" w:type="dxa"/>
            <w:vAlign w:val="center"/>
          </w:tcPr>
          <w:p>
            <w:pPr>
              <w:jc w:val="center"/>
              <w:rPr>
                <w:szCs w:val="21"/>
              </w:rPr>
            </w:pPr>
            <w:r>
              <w:rPr>
                <w:rFonts w:hint="eastAsia"/>
                <w:szCs w:val="21"/>
              </w:rPr>
              <w:t>≥3+3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轮机工程</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≥6+3</w:t>
            </w:r>
          </w:p>
        </w:tc>
        <w:tc>
          <w:tcPr>
            <w:tcW w:w="1650" w:type="dxa"/>
            <w:vAlign w:val="center"/>
          </w:tcPr>
          <w:p>
            <w:pPr>
              <w:jc w:val="center"/>
              <w:rPr>
                <w:szCs w:val="21"/>
              </w:rPr>
            </w:pPr>
            <w:r>
              <w:rPr>
                <w:rFonts w:hint="eastAsia"/>
                <w:szCs w:val="21"/>
              </w:rPr>
              <w:t>≥3+3</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bCs/>
                <w:szCs w:val="21"/>
              </w:rPr>
            </w:pPr>
            <w:r>
              <w:rPr>
                <w:rFonts w:hint="eastAsia"/>
                <w:bCs/>
                <w:szCs w:val="21"/>
              </w:rPr>
              <w:t>物流装备安全工程</w:t>
            </w:r>
          </w:p>
        </w:tc>
        <w:tc>
          <w:tcPr>
            <w:tcW w:w="765" w:type="dxa"/>
            <w:vAlign w:val="center"/>
          </w:tcPr>
          <w:p>
            <w:pPr>
              <w:jc w:val="center"/>
              <w:rPr>
                <w:bCs/>
                <w:szCs w:val="21"/>
              </w:rPr>
            </w:pPr>
            <w:r>
              <w:rPr>
                <w:rFonts w:hint="eastAsia"/>
                <w:szCs w:val="21"/>
                <w:lang w:val="en-US" w:eastAsia="zh-CN"/>
              </w:rPr>
              <w:t>3</w:t>
            </w:r>
            <w:r>
              <w:rPr>
                <w:rFonts w:hint="eastAsia"/>
                <w:szCs w:val="21"/>
              </w:rPr>
              <w:t>年</w:t>
            </w:r>
          </w:p>
        </w:tc>
        <w:tc>
          <w:tcPr>
            <w:tcW w:w="1305" w:type="dxa"/>
            <w:vAlign w:val="center"/>
          </w:tcPr>
          <w:p>
            <w:pPr>
              <w:jc w:val="center"/>
              <w:rPr>
                <w:bCs/>
                <w:szCs w:val="21"/>
              </w:rPr>
            </w:pPr>
            <w:r>
              <w:rPr>
                <w:rFonts w:hint="eastAsia"/>
                <w:bCs/>
                <w:szCs w:val="21"/>
              </w:rPr>
              <w:t>≥6+3</w:t>
            </w:r>
          </w:p>
        </w:tc>
        <w:tc>
          <w:tcPr>
            <w:tcW w:w="1650" w:type="dxa"/>
            <w:vAlign w:val="center"/>
          </w:tcPr>
          <w:p>
            <w:pPr>
              <w:jc w:val="center"/>
              <w:rPr>
                <w:bCs/>
                <w:szCs w:val="21"/>
              </w:rPr>
            </w:pPr>
            <w:r>
              <w:rPr>
                <w:rFonts w:hint="eastAsia"/>
                <w:bCs/>
                <w:szCs w:val="21"/>
              </w:rPr>
              <w:t>≥3+3</w:t>
            </w:r>
          </w:p>
        </w:tc>
        <w:tc>
          <w:tcPr>
            <w:tcW w:w="2428" w:type="dxa"/>
            <w:vMerge w:val="continue"/>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交通运输工程经济与管理</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≥3+3</w:t>
            </w:r>
          </w:p>
        </w:tc>
        <w:tc>
          <w:tcPr>
            <w:tcW w:w="1650" w:type="dxa"/>
            <w:vAlign w:val="center"/>
          </w:tcPr>
          <w:p>
            <w:pPr>
              <w:jc w:val="center"/>
              <w:rPr>
                <w:szCs w:val="21"/>
              </w:rPr>
            </w:pPr>
            <w:r>
              <w:rPr>
                <w:rFonts w:hint="eastAsia"/>
                <w:szCs w:val="21"/>
              </w:rPr>
              <w:t>≥3+1.2+1.2</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rFonts w:hint="eastAsia"/>
                <w:szCs w:val="21"/>
              </w:rPr>
            </w:pPr>
            <w:r>
              <w:rPr>
                <w:rFonts w:hint="eastAsia"/>
                <w:szCs w:val="21"/>
              </w:rPr>
              <w:t>海事语言及应用</w:t>
            </w:r>
          </w:p>
        </w:tc>
        <w:tc>
          <w:tcPr>
            <w:tcW w:w="765" w:type="dxa"/>
            <w:vAlign w:val="center"/>
          </w:tcPr>
          <w:p>
            <w:pPr>
              <w:jc w:val="center"/>
              <w:rPr>
                <w:rFonts w:hint="eastAsia"/>
                <w:szCs w:val="21"/>
              </w:rPr>
            </w:pPr>
            <w:r>
              <w:rPr>
                <w:rFonts w:hint="eastAsia"/>
                <w:szCs w:val="21"/>
                <w:lang w:val="en-US" w:eastAsia="zh-CN"/>
              </w:rPr>
              <w:t>3</w:t>
            </w:r>
            <w:r>
              <w:rPr>
                <w:rFonts w:hint="eastAsia"/>
                <w:szCs w:val="21"/>
              </w:rPr>
              <w:t>年</w:t>
            </w:r>
          </w:p>
        </w:tc>
        <w:tc>
          <w:tcPr>
            <w:tcW w:w="1305" w:type="dxa"/>
            <w:vAlign w:val="center"/>
          </w:tcPr>
          <w:p>
            <w:pPr>
              <w:jc w:val="center"/>
              <w:rPr>
                <w:rFonts w:hint="eastAsia"/>
                <w:szCs w:val="21"/>
              </w:rPr>
            </w:pPr>
            <w:r>
              <w:rPr>
                <w:rFonts w:hint="eastAsia"/>
                <w:szCs w:val="21"/>
              </w:rPr>
              <w:t>≥3+3</w:t>
            </w:r>
          </w:p>
        </w:tc>
        <w:tc>
          <w:tcPr>
            <w:tcW w:w="1650" w:type="dxa"/>
            <w:vAlign w:val="center"/>
          </w:tcPr>
          <w:p>
            <w:pPr>
              <w:jc w:val="center"/>
              <w:rPr>
                <w:rFonts w:hint="eastAsia"/>
                <w:szCs w:val="21"/>
              </w:rPr>
            </w:pPr>
            <w:r>
              <w:rPr>
                <w:rFonts w:hint="eastAsia"/>
                <w:szCs w:val="21"/>
              </w:rPr>
              <w:t>≥3+1.2+1.2</w:t>
            </w:r>
          </w:p>
        </w:tc>
        <w:tc>
          <w:tcPr>
            <w:tcW w:w="242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jc w:val="center"/>
              <w:rPr>
                <w:szCs w:val="21"/>
              </w:rPr>
            </w:pPr>
          </w:p>
        </w:tc>
        <w:tc>
          <w:tcPr>
            <w:tcW w:w="2565" w:type="dxa"/>
            <w:vAlign w:val="center"/>
          </w:tcPr>
          <w:p>
            <w:pPr>
              <w:jc w:val="center"/>
              <w:rPr>
                <w:szCs w:val="21"/>
              </w:rPr>
            </w:pPr>
            <w:r>
              <w:rPr>
                <w:rFonts w:hint="eastAsia"/>
                <w:szCs w:val="21"/>
              </w:rPr>
              <w:t>航运管理与法律</w:t>
            </w:r>
          </w:p>
        </w:tc>
        <w:tc>
          <w:tcPr>
            <w:tcW w:w="765" w:type="dxa"/>
            <w:vAlign w:val="center"/>
          </w:tcPr>
          <w:p>
            <w:pPr>
              <w:jc w:val="center"/>
              <w:rPr>
                <w:szCs w:val="21"/>
              </w:rPr>
            </w:pPr>
            <w:r>
              <w:rPr>
                <w:rFonts w:hint="eastAsia"/>
                <w:szCs w:val="21"/>
                <w:lang w:val="en-US" w:eastAsia="zh-CN"/>
              </w:rPr>
              <w:t>3</w:t>
            </w:r>
            <w:r>
              <w:rPr>
                <w:rFonts w:hint="eastAsia"/>
                <w:szCs w:val="21"/>
              </w:rPr>
              <w:t>年</w:t>
            </w:r>
          </w:p>
        </w:tc>
        <w:tc>
          <w:tcPr>
            <w:tcW w:w="1305" w:type="dxa"/>
            <w:vAlign w:val="center"/>
          </w:tcPr>
          <w:p>
            <w:pPr>
              <w:jc w:val="center"/>
              <w:rPr>
                <w:szCs w:val="21"/>
              </w:rPr>
            </w:pPr>
            <w:r>
              <w:rPr>
                <w:rFonts w:hint="eastAsia"/>
                <w:szCs w:val="21"/>
              </w:rPr>
              <w:t>≥3+1.2+1.2</w:t>
            </w:r>
          </w:p>
        </w:tc>
        <w:tc>
          <w:tcPr>
            <w:tcW w:w="1650" w:type="dxa"/>
            <w:vAlign w:val="center"/>
          </w:tcPr>
          <w:p>
            <w:pPr>
              <w:jc w:val="center"/>
              <w:rPr>
                <w:szCs w:val="21"/>
              </w:rPr>
            </w:pPr>
            <w:r>
              <w:rPr>
                <w:rFonts w:hint="eastAsia"/>
                <w:szCs w:val="21"/>
              </w:rPr>
              <w:t>≥3+1.2+1.2</w:t>
            </w:r>
          </w:p>
        </w:tc>
        <w:tc>
          <w:tcPr>
            <w:tcW w:w="2428" w:type="dxa"/>
            <w:vMerge w:val="continue"/>
          </w:tcPr>
          <w:p>
            <w:pPr>
              <w:rPr>
                <w:szCs w:val="21"/>
              </w:rPr>
            </w:pPr>
          </w:p>
        </w:tc>
      </w:tr>
    </w:tbl>
    <w:p>
      <w:pPr>
        <w:spacing w:line="440" w:lineRule="exact"/>
        <w:rPr>
          <w:sz w:val="24"/>
        </w:rPr>
      </w:pPr>
    </w:p>
    <w:tbl>
      <w:tblPr>
        <w:tblStyle w:val="10"/>
        <w:tblpPr w:leftFromText="180" w:rightFromText="180" w:vertAnchor="text" w:horzAnchor="page" w:tblpX="1141" w:tblpY="225"/>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76"/>
        <w:gridCol w:w="2329"/>
        <w:gridCol w:w="1350"/>
        <w:gridCol w:w="1387"/>
        <w:gridCol w:w="153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6" w:type="dxa"/>
            <w:gridSpan w:val="2"/>
            <w:vMerge w:val="restart"/>
            <w:vAlign w:val="center"/>
          </w:tcPr>
          <w:p>
            <w:pPr>
              <w:jc w:val="center"/>
              <w:rPr>
                <w:szCs w:val="21"/>
              </w:rPr>
            </w:pPr>
            <w:r>
              <w:rPr>
                <w:rFonts w:hint="eastAsia"/>
                <w:szCs w:val="21"/>
              </w:rPr>
              <w:t>学位类别</w:t>
            </w:r>
          </w:p>
        </w:tc>
        <w:tc>
          <w:tcPr>
            <w:tcW w:w="2329" w:type="dxa"/>
            <w:vMerge w:val="restart"/>
            <w:vAlign w:val="center"/>
          </w:tcPr>
          <w:p>
            <w:pPr>
              <w:jc w:val="center"/>
              <w:rPr>
                <w:szCs w:val="21"/>
              </w:rPr>
            </w:pPr>
            <w:r>
              <w:rPr>
                <w:rFonts w:hint="eastAsia"/>
                <w:szCs w:val="21"/>
              </w:rPr>
              <w:t>学科</w:t>
            </w:r>
          </w:p>
        </w:tc>
        <w:tc>
          <w:tcPr>
            <w:tcW w:w="1350" w:type="dxa"/>
            <w:vMerge w:val="restart"/>
            <w:vAlign w:val="center"/>
          </w:tcPr>
          <w:p>
            <w:pPr>
              <w:jc w:val="center"/>
              <w:rPr>
                <w:szCs w:val="21"/>
              </w:rPr>
            </w:pPr>
            <w:r>
              <w:rPr>
                <w:rFonts w:hint="eastAsia"/>
                <w:szCs w:val="21"/>
              </w:rPr>
              <w:t>学制</w:t>
            </w:r>
          </w:p>
        </w:tc>
        <w:tc>
          <w:tcPr>
            <w:tcW w:w="2925" w:type="dxa"/>
            <w:gridSpan w:val="2"/>
            <w:vAlign w:val="center"/>
          </w:tcPr>
          <w:p>
            <w:pPr>
              <w:jc w:val="center"/>
              <w:rPr>
                <w:szCs w:val="21"/>
              </w:rPr>
            </w:pPr>
            <w:r>
              <w:rPr>
                <w:rFonts w:hint="eastAsia"/>
                <w:szCs w:val="21"/>
              </w:rPr>
              <w:t>分值要求</w:t>
            </w:r>
          </w:p>
        </w:tc>
        <w:tc>
          <w:tcPr>
            <w:tcW w:w="1402" w:type="dxa"/>
            <w:vMerge w:val="restart"/>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6" w:type="dxa"/>
            <w:gridSpan w:val="2"/>
            <w:vMerge w:val="continue"/>
            <w:vAlign w:val="center"/>
          </w:tcPr>
          <w:p>
            <w:pPr>
              <w:jc w:val="center"/>
              <w:rPr>
                <w:szCs w:val="21"/>
              </w:rPr>
            </w:pPr>
          </w:p>
        </w:tc>
        <w:tc>
          <w:tcPr>
            <w:tcW w:w="2329" w:type="dxa"/>
            <w:vMerge w:val="continue"/>
            <w:vAlign w:val="center"/>
          </w:tcPr>
          <w:p>
            <w:pPr>
              <w:jc w:val="center"/>
              <w:rPr>
                <w:szCs w:val="21"/>
              </w:rPr>
            </w:pPr>
          </w:p>
        </w:tc>
        <w:tc>
          <w:tcPr>
            <w:tcW w:w="1350" w:type="dxa"/>
            <w:vMerge w:val="continue"/>
            <w:vAlign w:val="center"/>
          </w:tcPr>
          <w:p>
            <w:pPr>
              <w:jc w:val="center"/>
              <w:rPr>
                <w:szCs w:val="21"/>
              </w:rPr>
            </w:pPr>
          </w:p>
        </w:tc>
        <w:tc>
          <w:tcPr>
            <w:tcW w:w="1387" w:type="dxa"/>
            <w:vAlign w:val="center"/>
          </w:tcPr>
          <w:p>
            <w:pPr>
              <w:rPr>
                <w:szCs w:val="21"/>
              </w:rPr>
            </w:pPr>
            <w:r>
              <w:rPr>
                <w:rFonts w:hint="eastAsia"/>
                <w:szCs w:val="21"/>
              </w:rPr>
              <w:t>首批次毕业</w:t>
            </w:r>
          </w:p>
        </w:tc>
        <w:tc>
          <w:tcPr>
            <w:tcW w:w="1538" w:type="dxa"/>
            <w:vAlign w:val="center"/>
          </w:tcPr>
          <w:p>
            <w:pPr>
              <w:jc w:val="center"/>
              <w:rPr>
                <w:szCs w:val="21"/>
              </w:rPr>
            </w:pPr>
            <w:r>
              <w:rPr>
                <w:rFonts w:hint="eastAsia"/>
                <w:szCs w:val="21"/>
              </w:rPr>
              <w:t>后续批次毕业</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restart"/>
            <w:vAlign w:val="center"/>
          </w:tcPr>
          <w:p>
            <w:pPr>
              <w:jc w:val="center"/>
              <w:rPr>
                <w:szCs w:val="21"/>
              </w:rPr>
            </w:pPr>
            <w:r>
              <w:rPr>
                <w:rFonts w:hint="eastAsia"/>
                <w:szCs w:val="21"/>
              </w:rPr>
              <w:t>硕士学位</w:t>
            </w:r>
          </w:p>
        </w:tc>
        <w:tc>
          <w:tcPr>
            <w:tcW w:w="1376" w:type="dxa"/>
            <w:vMerge w:val="restart"/>
            <w:vAlign w:val="center"/>
          </w:tcPr>
          <w:p>
            <w:pPr>
              <w:jc w:val="center"/>
              <w:rPr>
                <w:szCs w:val="21"/>
              </w:rPr>
            </w:pPr>
            <w:r>
              <w:rPr>
                <w:rFonts w:hint="eastAsia"/>
                <w:szCs w:val="21"/>
              </w:rPr>
              <w:t>科学学位</w:t>
            </w:r>
          </w:p>
        </w:tc>
        <w:tc>
          <w:tcPr>
            <w:tcW w:w="2329" w:type="dxa"/>
            <w:vAlign w:val="center"/>
          </w:tcPr>
          <w:p>
            <w:pPr>
              <w:jc w:val="center"/>
              <w:rPr>
                <w:szCs w:val="21"/>
              </w:rPr>
            </w:pPr>
            <w:r>
              <w:rPr>
                <w:rFonts w:hint="eastAsia"/>
                <w:szCs w:val="21"/>
              </w:rPr>
              <w:t>工学</w:t>
            </w:r>
          </w:p>
        </w:tc>
        <w:tc>
          <w:tcPr>
            <w:tcW w:w="1350" w:type="dxa"/>
            <w:vAlign w:val="center"/>
          </w:tcPr>
          <w:p>
            <w:pPr>
              <w:jc w:val="center"/>
              <w:rPr>
                <w:szCs w:val="21"/>
              </w:rPr>
            </w:pPr>
            <w:r>
              <w:rPr>
                <w:rFonts w:hint="eastAsia"/>
                <w:szCs w:val="21"/>
                <w:lang w:val="en-US" w:eastAsia="zh-CN"/>
              </w:rPr>
              <w:t>3</w:t>
            </w:r>
            <w:r>
              <w:rPr>
                <w:rFonts w:hint="eastAsia"/>
                <w:szCs w:val="21"/>
              </w:rPr>
              <w:t>年</w:t>
            </w:r>
          </w:p>
        </w:tc>
        <w:tc>
          <w:tcPr>
            <w:tcW w:w="1387" w:type="dxa"/>
            <w:vAlign w:val="center"/>
          </w:tcPr>
          <w:p>
            <w:pPr>
              <w:jc w:val="center"/>
              <w:rPr>
                <w:szCs w:val="21"/>
              </w:rPr>
            </w:pPr>
            <w:r>
              <w:rPr>
                <w:rFonts w:hint="eastAsia"/>
                <w:szCs w:val="21"/>
              </w:rPr>
              <w:t>≥2*</w:t>
            </w:r>
          </w:p>
        </w:tc>
        <w:tc>
          <w:tcPr>
            <w:tcW w:w="1538" w:type="dxa"/>
            <w:vAlign w:val="center"/>
          </w:tcPr>
          <w:p>
            <w:pPr>
              <w:jc w:val="center"/>
              <w:rPr>
                <w:szCs w:val="21"/>
              </w:rPr>
            </w:pPr>
            <w:r>
              <w:rPr>
                <w:rFonts w:hint="eastAsia"/>
                <w:szCs w:val="21"/>
              </w:rPr>
              <w:t>≥1</w:t>
            </w:r>
          </w:p>
        </w:tc>
        <w:tc>
          <w:tcPr>
            <w:tcW w:w="1402" w:type="dxa"/>
            <w:vMerge w:val="restart"/>
            <w:vAlign w:val="center"/>
          </w:tcPr>
          <w:p>
            <w:pPr>
              <w:jc w:val="center"/>
              <w:rPr>
                <w:szCs w:val="21"/>
              </w:rPr>
            </w:pPr>
            <w:r>
              <w:rPr>
                <w:rFonts w:hint="eastAsia"/>
                <w:szCs w:val="21"/>
              </w:rPr>
              <w:t>均指单项成果分值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80" w:type="dxa"/>
            <w:vMerge w:val="continue"/>
            <w:vAlign w:val="center"/>
          </w:tcPr>
          <w:p>
            <w:pPr>
              <w:jc w:val="center"/>
              <w:rPr>
                <w:szCs w:val="21"/>
              </w:rPr>
            </w:pPr>
          </w:p>
        </w:tc>
        <w:tc>
          <w:tcPr>
            <w:tcW w:w="1376" w:type="dxa"/>
            <w:vMerge w:val="continue"/>
            <w:vAlign w:val="center"/>
          </w:tcPr>
          <w:p>
            <w:pPr>
              <w:jc w:val="center"/>
              <w:rPr>
                <w:szCs w:val="21"/>
              </w:rPr>
            </w:pPr>
          </w:p>
        </w:tc>
        <w:tc>
          <w:tcPr>
            <w:tcW w:w="2329" w:type="dxa"/>
            <w:vAlign w:val="center"/>
          </w:tcPr>
          <w:p>
            <w:pPr>
              <w:jc w:val="center"/>
              <w:rPr>
                <w:rFonts w:hint="eastAsia"/>
                <w:szCs w:val="21"/>
              </w:rPr>
            </w:pPr>
            <w:r>
              <w:rPr>
                <w:rFonts w:hint="eastAsia"/>
                <w:szCs w:val="21"/>
              </w:rPr>
              <w:t>管理学（管科）</w:t>
            </w:r>
          </w:p>
        </w:tc>
        <w:tc>
          <w:tcPr>
            <w:tcW w:w="1350" w:type="dxa"/>
            <w:vAlign w:val="center"/>
          </w:tcPr>
          <w:p>
            <w:pPr>
              <w:jc w:val="center"/>
              <w:rPr>
                <w:rFonts w:hint="eastAsia"/>
                <w:szCs w:val="21"/>
              </w:rPr>
            </w:pPr>
            <w:r>
              <w:rPr>
                <w:rFonts w:hint="eastAsia"/>
                <w:szCs w:val="21"/>
                <w:lang w:val="en-US" w:eastAsia="zh-CN"/>
              </w:rPr>
              <w:t>3</w:t>
            </w:r>
            <w:r>
              <w:rPr>
                <w:rFonts w:hint="eastAsia"/>
                <w:szCs w:val="21"/>
              </w:rPr>
              <w:t>年</w:t>
            </w:r>
          </w:p>
        </w:tc>
        <w:tc>
          <w:tcPr>
            <w:tcW w:w="1387" w:type="dxa"/>
            <w:vAlign w:val="center"/>
          </w:tcPr>
          <w:p>
            <w:pPr>
              <w:jc w:val="center"/>
              <w:rPr>
                <w:rFonts w:hint="eastAsia"/>
                <w:szCs w:val="21"/>
              </w:rPr>
            </w:pPr>
            <w:r>
              <w:rPr>
                <w:rFonts w:hint="eastAsia"/>
                <w:szCs w:val="21"/>
              </w:rPr>
              <w:t>≥1</w:t>
            </w:r>
          </w:p>
        </w:tc>
        <w:tc>
          <w:tcPr>
            <w:tcW w:w="1538" w:type="dxa"/>
            <w:vAlign w:val="center"/>
          </w:tcPr>
          <w:p>
            <w:pPr>
              <w:jc w:val="center"/>
              <w:rPr>
                <w:rFonts w:hint="eastAsia"/>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80" w:type="dxa"/>
            <w:vMerge w:val="continue"/>
            <w:vAlign w:val="center"/>
          </w:tcPr>
          <w:p>
            <w:pPr>
              <w:jc w:val="center"/>
              <w:rPr>
                <w:szCs w:val="21"/>
              </w:rPr>
            </w:pPr>
          </w:p>
        </w:tc>
        <w:tc>
          <w:tcPr>
            <w:tcW w:w="1376" w:type="dxa"/>
            <w:vMerge w:val="continue"/>
            <w:vAlign w:val="center"/>
          </w:tcPr>
          <w:p>
            <w:pPr>
              <w:jc w:val="center"/>
              <w:rPr>
                <w:szCs w:val="21"/>
              </w:rPr>
            </w:pPr>
          </w:p>
        </w:tc>
        <w:tc>
          <w:tcPr>
            <w:tcW w:w="2329" w:type="dxa"/>
            <w:vAlign w:val="center"/>
          </w:tcPr>
          <w:p>
            <w:pPr>
              <w:jc w:val="center"/>
              <w:rPr>
                <w:rFonts w:hint="eastAsia"/>
                <w:szCs w:val="21"/>
              </w:rPr>
            </w:pPr>
            <w:r>
              <w:rPr>
                <w:rFonts w:hint="eastAsia"/>
                <w:szCs w:val="21"/>
              </w:rPr>
              <w:t>管理学（工商管理）</w:t>
            </w:r>
          </w:p>
        </w:tc>
        <w:tc>
          <w:tcPr>
            <w:tcW w:w="1350" w:type="dxa"/>
            <w:vAlign w:val="center"/>
          </w:tcPr>
          <w:p>
            <w:pPr>
              <w:jc w:val="center"/>
              <w:rPr>
                <w:rFonts w:hint="eastAsia"/>
                <w:szCs w:val="21"/>
              </w:rPr>
            </w:pPr>
            <w:r>
              <w:rPr>
                <w:rFonts w:hint="eastAsia"/>
                <w:szCs w:val="21"/>
                <w:lang w:val="en-US" w:eastAsia="zh-CN"/>
              </w:rPr>
              <w:t>3</w:t>
            </w:r>
            <w:r>
              <w:rPr>
                <w:rFonts w:hint="eastAsia"/>
                <w:szCs w:val="21"/>
              </w:rPr>
              <w:t>年</w:t>
            </w:r>
          </w:p>
        </w:tc>
        <w:tc>
          <w:tcPr>
            <w:tcW w:w="1387" w:type="dxa"/>
            <w:vAlign w:val="center"/>
          </w:tcPr>
          <w:p>
            <w:pPr>
              <w:jc w:val="center"/>
              <w:rPr>
                <w:rFonts w:hint="eastAsia"/>
                <w:szCs w:val="21"/>
              </w:rPr>
            </w:pPr>
            <w:r>
              <w:rPr>
                <w:rFonts w:hint="eastAsia"/>
                <w:szCs w:val="21"/>
              </w:rPr>
              <w:t>≥0.5</w:t>
            </w:r>
          </w:p>
        </w:tc>
        <w:tc>
          <w:tcPr>
            <w:tcW w:w="1538" w:type="dxa"/>
            <w:vAlign w:val="center"/>
          </w:tcPr>
          <w:p>
            <w:pPr>
              <w:jc w:val="center"/>
              <w:rPr>
                <w:rFonts w:hint="eastAsia"/>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80" w:type="dxa"/>
            <w:vMerge w:val="continue"/>
            <w:vAlign w:val="center"/>
          </w:tcPr>
          <w:p>
            <w:pPr>
              <w:jc w:val="center"/>
              <w:rPr>
                <w:szCs w:val="21"/>
              </w:rPr>
            </w:pPr>
          </w:p>
        </w:tc>
        <w:tc>
          <w:tcPr>
            <w:tcW w:w="1376" w:type="dxa"/>
            <w:vMerge w:val="continue"/>
            <w:vAlign w:val="center"/>
          </w:tcPr>
          <w:p>
            <w:pPr>
              <w:jc w:val="center"/>
              <w:rPr>
                <w:szCs w:val="21"/>
              </w:rPr>
            </w:pPr>
          </w:p>
        </w:tc>
        <w:tc>
          <w:tcPr>
            <w:tcW w:w="2329" w:type="dxa"/>
            <w:vAlign w:val="center"/>
          </w:tcPr>
          <w:p>
            <w:pPr>
              <w:jc w:val="center"/>
              <w:rPr>
                <w:szCs w:val="21"/>
              </w:rPr>
            </w:pPr>
            <w:r>
              <w:rPr>
                <w:rFonts w:hint="eastAsia"/>
                <w:szCs w:val="21"/>
              </w:rPr>
              <w:t>法学</w:t>
            </w:r>
          </w:p>
        </w:tc>
        <w:tc>
          <w:tcPr>
            <w:tcW w:w="1350" w:type="dxa"/>
            <w:vAlign w:val="center"/>
          </w:tcPr>
          <w:p>
            <w:pPr>
              <w:jc w:val="center"/>
              <w:rPr>
                <w:szCs w:val="21"/>
              </w:rPr>
            </w:pPr>
            <w:r>
              <w:rPr>
                <w:rFonts w:hint="eastAsia"/>
                <w:szCs w:val="21"/>
                <w:lang w:val="en-US" w:eastAsia="zh-CN"/>
              </w:rPr>
              <w:t>3</w:t>
            </w:r>
            <w:r>
              <w:rPr>
                <w:rFonts w:hint="eastAsia"/>
                <w:szCs w:val="21"/>
              </w:rPr>
              <w:t>年</w:t>
            </w:r>
          </w:p>
        </w:tc>
        <w:tc>
          <w:tcPr>
            <w:tcW w:w="1387" w:type="dxa"/>
            <w:vAlign w:val="center"/>
          </w:tcPr>
          <w:p>
            <w:pPr>
              <w:jc w:val="center"/>
              <w:rPr>
                <w:b/>
                <w:bCs/>
                <w:szCs w:val="21"/>
              </w:rPr>
            </w:pPr>
            <w:r>
              <w:rPr>
                <w:rFonts w:hint="eastAsia"/>
                <w:szCs w:val="21"/>
              </w:rPr>
              <w:t>≥</w:t>
            </w:r>
            <w:r>
              <w:rPr>
                <w:rFonts w:hint="eastAsia"/>
                <w:szCs w:val="21"/>
                <w:lang w:val="en-US" w:eastAsia="zh-CN"/>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80" w:type="dxa"/>
            <w:vMerge w:val="continue"/>
            <w:vAlign w:val="center"/>
          </w:tcPr>
          <w:p>
            <w:pPr>
              <w:jc w:val="center"/>
              <w:rPr>
                <w:szCs w:val="21"/>
              </w:rPr>
            </w:pPr>
          </w:p>
        </w:tc>
        <w:tc>
          <w:tcPr>
            <w:tcW w:w="1376" w:type="dxa"/>
            <w:vMerge w:val="continue"/>
            <w:vAlign w:val="center"/>
          </w:tcPr>
          <w:p>
            <w:pPr>
              <w:jc w:val="center"/>
              <w:rPr>
                <w:szCs w:val="21"/>
              </w:rPr>
            </w:pPr>
          </w:p>
        </w:tc>
        <w:tc>
          <w:tcPr>
            <w:tcW w:w="2329" w:type="dxa"/>
            <w:vAlign w:val="center"/>
          </w:tcPr>
          <w:p>
            <w:pPr>
              <w:jc w:val="center"/>
              <w:rPr>
                <w:szCs w:val="21"/>
              </w:rPr>
            </w:pPr>
            <w:r>
              <w:rPr>
                <w:rFonts w:hint="eastAsia"/>
                <w:szCs w:val="21"/>
              </w:rPr>
              <w:t>文学</w:t>
            </w:r>
          </w:p>
        </w:tc>
        <w:tc>
          <w:tcPr>
            <w:tcW w:w="1350" w:type="dxa"/>
            <w:vAlign w:val="center"/>
          </w:tcPr>
          <w:p>
            <w:pPr>
              <w:jc w:val="center"/>
              <w:rPr>
                <w:szCs w:val="21"/>
              </w:rPr>
            </w:pPr>
            <w:r>
              <w:rPr>
                <w:rFonts w:hint="eastAsia"/>
                <w:szCs w:val="21"/>
                <w:lang w:val="en-US" w:eastAsia="zh-CN"/>
              </w:rPr>
              <w:t>3</w:t>
            </w:r>
            <w:r>
              <w:rPr>
                <w:rFonts w:hint="eastAsia"/>
                <w:szCs w:val="21"/>
              </w:rPr>
              <w:t>年</w:t>
            </w:r>
          </w:p>
        </w:tc>
        <w:tc>
          <w:tcPr>
            <w:tcW w:w="1387" w:type="dxa"/>
            <w:vAlign w:val="center"/>
          </w:tcPr>
          <w:p>
            <w:pPr>
              <w:jc w:val="center"/>
              <w:rPr>
                <w:b/>
                <w:bCs/>
                <w:szCs w:val="21"/>
              </w:rPr>
            </w:pPr>
            <w:r>
              <w:rPr>
                <w:rFonts w:hint="eastAsia"/>
                <w:szCs w:val="21"/>
              </w:rPr>
              <w:t>≥</w:t>
            </w:r>
            <w:r>
              <w:rPr>
                <w:rFonts w:hint="eastAsia"/>
                <w:szCs w:val="21"/>
                <w:lang w:val="en-US" w:eastAsia="zh-CN"/>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480" w:type="dxa"/>
            <w:vMerge w:val="continue"/>
            <w:vAlign w:val="center"/>
          </w:tcPr>
          <w:p>
            <w:pPr>
              <w:jc w:val="center"/>
              <w:rPr>
                <w:szCs w:val="21"/>
              </w:rPr>
            </w:pPr>
          </w:p>
        </w:tc>
        <w:tc>
          <w:tcPr>
            <w:tcW w:w="1376" w:type="dxa"/>
            <w:vMerge w:val="continue"/>
            <w:vAlign w:val="center"/>
          </w:tcPr>
          <w:p>
            <w:pPr>
              <w:jc w:val="center"/>
              <w:rPr>
                <w:szCs w:val="21"/>
              </w:rPr>
            </w:pPr>
          </w:p>
        </w:tc>
        <w:tc>
          <w:tcPr>
            <w:tcW w:w="2329" w:type="dxa"/>
            <w:vAlign w:val="center"/>
          </w:tcPr>
          <w:p>
            <w:pPr>
              <w:jc w:val="center"/>
              <w:rPr>
                <w:szCs w:val="21"/>
              </w:rPr>
            </w:pPr>
            <w:r>
              <w:rPr>
                <w:rFonts w:hint="eastAsia"/>
                <w:szCs w:val="21"/>
              </w:rPr>
              <w:t>经济学</w:t>
            </w:r>
          </w:p>
        </w:tc>
        <w:tc>
          <w:tcPr>
            <w:tcW w:w="1350" w:type="dxa"/>
            <w:vAlign w:val="center"/>
          </w:tcPr>
          <w:p>
            <w:pPr>
              <w:jc w:val="center"/>
              <w:rPr>
                <w:szCs w:val="21"/>
              </w:rPr>
            </w:pPr>
            <w:r>
              <w:rPr>
                <w:rFonts w:hint="eastAsia"/>
                <w:szCs w:val="21"/>
                <w:lang w:val="en-US" w:eastAsia="zh-CN"/>
              </w:rPr>
              <w:t>3</w:t>
            </w:r>
            <w:r>
              <w:rPr>
                <w:rFonts w:hint="eastAsia"/>
                <w:szCs w:val="21"/>
              </w:rPr>
              <w:t>年</w:t>
            </w:r>
          </w:p>
        </w:tc>
        <w:tc>
          <w:tcPr>
            <w:tcW w:w="1387" w:type="dxa"/>
            <w:vAlign w:val="center"/>
          </w:tcPr>
          <w:p>
            <w:pPr>
              <w:jc w:val="center"/>
              <w:rPr>
                <w:szCs w:val="21"/>
              </w:rPr>
            </w:pPr>
            <w:r>
              <w:rPr>
                <w:rFonts w:hint="eastAsia"/>
                <w:szCs w:val="21"/>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0" w:type="dxa"/>
            <w:vMerge w:val="continue"/>
            <w:vAlign w:val="center"/>
          </w:tcPr>
          <w:p>
            <w:pPr>
              <w:jc w:val="center"/>
              <w:rPr>
                <w:szCs w:val="21"/>
              </w:rPr>
            </w:pPr>
          </w:p>
        </w:tc>
        <w:tc>
          <w:tcPr>
            <w:tcW w:w="1376" w:type="dxa"/>
            <w:vMerge w:val="restart"/>
            <w:vAlign w:val="center"/>
          </w:tcPr>
          <w:p>
            <w:pPr>
              <w:jc w:val="center"/>
              <w:rPr>
                <w:szCs w:val="21"/>
              </w:rPr>
            </w:pPr>
            <w:r>
              <w:rPr>
                <w:rFonts w:hint="eastAsia"/>
                <w:szCs w:val="21"/>
              </w:rPr>
              <w:t>专业学位</w:t>
            </w:r>
          </w:p>
          <w:p>
            <w:pPr>
              <w:jc w:val="center"/>
              <w:rPr>
                <w:szCs w:val="21"/>
              </w:rPr>
            </w:pPr>
            <w:r>
              <w:rPr>
                <w:rFonts w:hint="eastAsia"/>
                <w:szCs w:val="21"/>
              </w:rPr>
              <w:t>（全日制）</w:t>
            </w:r>
          </w:p>
        </w:tc>
        <w:tc>
          <w:tcPr>
            <w:tcW w:w="2329" w:type="dxa"/>
            <w:vAlign w:val="center"/>
          </w:tcPr>
          <w:p>
            <w:pPr>
              <w:jc w:val="center"/>
              <w:rPr>
                <w:szCs w:val="21"/>
              </w:rPr>
            </w:pPr>
            <w:r>
              <w:rPr>
                <w:rFonts w:hint="eastAsia"/>
                <w:szCs w:val="21"/>
              </w:rPr>
              <w:t>工程硕士</w:t>
            </w:r>
            <w:r>
              <w:rPr>
                <w:rFonts w:hint="eastAsia"/>
                <w:szCs w:val="21"/>
                <w:lang w:val="en-US" w:eastAsia="zh-CN"/>
              </w:rPr>
              <w:t>A类</w:t>
            </w:r>
          </w:p>
        </w:tc>
        <w:tc>
          <w:tcPr>
            <w:tcW w:w="1350" w:type="dxa"/>
            <w:vAlign w:val="center"/>
          </w:tcPr>
          <w:p>
            <w:pPr>
              <w:jc w:val="center"/>
              <w:rPr>
                <w:szCs w:val="21"/>
              </w:rPr>
            </w:pPr>
            <w:r>
              <w:rPr>
                <w:rFonts w:hint="eastAsia"/>
                <w:szCs w:val="21"/>
                <w:lang w:val="en-US" w:eastAsia="zh-CN"/>
              </w:rPr>
              <w:t>2/2.5</w:t>
            </w:r>
            <w:r>
              <w:rPr>
                <w:rFonts w:hint="eastAsia"/>
                <w:szCs w:val="21"/>
              </w:rPr>
              <w:t>年</w:t>
            </w:r>
          </w:p>
        </w:tc>
        <w:tc>
          <w:tcPr>
            <w:tcW w:w="1387" w:type="dxa"/>
            <w:vAlign w:val="center"/>
          </w:tcPr>
          <w:p>
            <w:pPr>
              <w:jc w:val="center"/>
              <w:rPr>
                <w:szCs w:val="21"/>
              </w:rPr>
            </w:pPr>
            <w:r>
              <w:rPr>
                <w:rFonts w:hint="eastAsia"/>
                <w:szCs w:val="21"/>
              </w:rPr>
              <w:t>≥1</w:t>
            </w:r>
          </w:p>
        </w:tc>
        <w:tc>
          <w:tcPr>
            <w:tcW w:w="1538" w:type="dxa"/>
            <w:vAlign w:val="center"/>
          </w:tcPr>
          <w:p>
            <w:pPr>
              <w:jc w:val="center"/>
              <w:rPr>
                <w:szCs w:val="21"/>
              </w:rPr>
            </w:pPr>
            <w:r>
              <w:rPr>
                <w:rFonts w:hint="eastAsia"/>
                <w:szCs w:val="21"/>
              </w:rPr>
              <w:t>≥0.5</w:t>
            </w:r>
          </w:p>
        </w:tc>
        <w:tc>
          <w:tcPr>
            <w:tcW w:w="1402" w:type="dxa"/>
            <w:vMerge w:val="restart"/>
            <w:vAlign w:val="center"/>
          </w:tcPr>
          <w:p>
            <w:pPr>
              <w:jc w:val="center"/>
              <w:rPr>
                <w:szCs w:val="21"/>
              </w:rPr>
            </w:pPr>
            <w:r>
              <w:rPr>
                <w:rFonts w:hint="eastAsia"/>
                <w:szCs w:val="21"/>
              </w:rPr>
              <w:t>均指单项成果分值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rPr>
                <w:szCs w:val="21"/>
              </w:rPr>
            </w:pPr>
          </w:p>
        </w:tc>
        <w:tc>
          <w:tcPr>
            <w:tcW w:w="1376" w:type="dxa"/>
            <w:vMerge w:val="continue"/>
          </w:tcPr>
          <w:p>
            <w:pPr>
              <w:rPr>
                <w:szCs w:val="21"/>
              </w:rPr>
            </w:pPr>
          </w:p>
        </w:tc>
        <w:tc>
          <w:tcPr>
            <w:tcW w:w="2329" w:type="dxa"/>
            <w:vAlign w:val="center"/>
          </w:tcPr>
          <w:p>
            <w:pPr>
              <w:jc w:val="center"/>
              <w:rPr>
                <w:rFonts w:hint="eastAsia"/>
                <w:szCs w:val="21"/>
              </w:rPr>
            </w:pPr>
            <w:r>
              <w:rPr>
                <w:rFonts w:hint="eastAsia"/>
                <w:szCs w:val="21"/>
              </w:rPr>
              <w:t>工程硕士</w:t>
            </w:r>
            <w:r>
              <w:rPr>
                <w:rFonts w:hint="eastAsia"/>
                <w:szCs w:val="21"/>
                <w:lang w:val="en-US" w:eastAsia="zh-CN"/>
              </w:rPr>
              <w:t>B类</w:t>
            </w:r>
          </w:p>
        </w:tc>
        <w:tc>
          <w:tcPr>
            <w:tcW w:w="1350" w:type="dxa"/>
            <w:vAlign w:val="center"/>
          </w:tcPr>
          <w:p>
            <w:pPr>
              <w:jc w:val="center"/>
              <w:rPr>
                <w:rFonts w:hint="eastAsia"/>
                <w:szCs w:val="21"/>
              </w:rPr>
            </w:pPr>
            <w:r>
              <w:rPr>
                <w:rFonts w:hint="eastAsia"/>
                <w:szCs w:val="21"/>
                <w:lang w:val="en-US" w:eastAsia="zh-CN"/>
              </w:rPr>
              <w:t>2</w:t>
            </w:r>
            <w:r>
              <w:rPr>
                <w:rFonts w:hint="eastAsia"/>
                <w:szCs w:val="21"/>
              </w:rPr>
              <w:t>年</w:t>
            </w:r>
          </w:p>
        </w:tc>
        <w:tc>
          <w:tcPr>
            <w:tcW w:w="1387" w:type="dxa"/>
            <w:vAlign w:val="center"/>
          </w:tcPr>
          <w:p>
            <w:pPr>
              <w:jc w:val="center"/>
              <w:rPr>
                <w:rFonts w:hint="eastAsia"/>
                <w:szCs w:val="21"/>
              </w:rPr>
            </w:pPr>
            <w:r>
              <w:rPr>
                <w:rFonts w:hint="eastAsia"/>
                <w:szCs w:val="21"/>
              </w:rPr>
              <w:t>≥</w:t>
            </w:r>
            <w:r>
              <w:rPr>
                <w:rFonts w:hint="eastAsia"/>
                <w:szCs w:val="21"/>
                <w:lang w:val="en-US" w:eastAsia="zh-CN"/>
              </w:rPr>
              <w:t>0.5</w:t>
            </w:r>
          </w:p>
        </w:tc>
        <w:tc>
          <w:tcPr>
            <w:tcW w:w="1538" w:type="dxa"/>
            <w:vAlign w:val="center"/>
          </w:tcPr>
          <w:p>
            <w:pPr>
              <w:jc w:val="center"/>
              <w:rPr>
                <w:rFonts w:hint="eastAsia"/>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rPr>
                <w:szCs w:val="21"/>
              </w:rPr>
            </w:pPr>
          </w:p>
        </w:tc>
        <w:tc>
          <w:tcPr>
            <w:tcW w:w="1376" w:type="dxa"/>
            <w:vMerge w:val="continue"/>
          </w:tcPr>
          <w:p>
            <w:pPr>
              <w:rPr>
                <w:szCs w:val="21"/>
              </w:rPr>
            </w:pPr>
          </w:p>
        </w:tc>
        <w:tc>
          <w:tcPr>
            <w:tcW w:w="2329" w:type="dxa"/>
            <w:vAlign w:val="center"/>
          </w:tcPr>
          <w:p>
            <w:pPr>
              <w:jc w:val="center"/>
              <w:rPr>
                <w:szCs w:val="21"/>
              </w:rPr>
            </w:pPr>
            <w:r>
              <w:rPr>
                <w:rFonts w:hint="eastAsia"/>
                <w:szCs w:val="21"/>
              </w:rPr>
              <w:t>工程管理硕士（MEM）</w:t>
            </w:r>
          </w:p>
        </w:tc>
        <w:tc>
          <w:tcPr>
            <w:tcW w:w="1350" w:type="dxa"/>
            <w:vAlign w:val="center"/>
          </w:tcPr>
          <w:p>
            <w:pPr>
              <w:jc w:val="center"/>
              <w:rPr>
                <w:szCs w:val="21"/>
              </w:rPr>
            </w:pPr>
            <w:r>
              <w:rPr>
                <w:rFonts w:hint="eastAsia"/>
                <w:szCs w:val="21"/>
                <w:lang w:val="en-US" w:eastAsia="zh-CN"/>
              </w:rPr>
              <w:t>3</w:t>
            </w:r>
            <w:r>
              <w:rPr>
                <w:rFonts w:hint="eastAsia"/>
                <w:szCs w:val="21"/>
              </w:rPr>
              <w:t>年</w:t>
            </w:r>
          </w:p>
        </w:tc>
        <w:tc>
          <w:tcPr>
            <w:tcW w:w="1387" w:type="dxa"/>
            <w:vAlign w:val="center"/>
          </w:tcPr>
          <w:p>
            <w:pPr>
              <w:jc w:val="center"/>
              <w:rPr>
                <w:szCs w:val="21"/>
              </w:rPr>
            </w:pPr>
            <w:r>
              <w:rPr>
                <w:rFonts w:hint="eastAsia"/>
                <w:szCs w:val="21"/>
              </w:rPr>
              <w:t>≥</w:t>
            </w:r>
            <w:r>
              <w:rPr>
                <w:rFonts w:hint="eastAsia"/>
                <w:szCs w:val="21"/>
                <w:lang w:val="en-US" w:eastAsia="zh-CN"/>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rPr>
                <w:szCs w:val="21"/>
              </w:rPr>
            </w:pPr>
          </w:p>
        </w:tc>
        <w:tc>
          <w:tcPr>
            <w:tcW w:w="1376" w:type="dxa"/>
            <w:vMerge w:val="continue"/>
          </w:tcPr>
          <w:p>
            <w:pPr>
              <w:rPr>
                <w:szCs w:val="21"/>
              </w:rPr>
            </w:pPr>
          </w:p>
        </w:tc>
        <w:tc>
          <w:tcPr>
            <w:tcW w:w="2329" w:type="dxa"/>
            <w:vAlign w:val="center"/>
          </w:tcPr>
          <w:p>
            <w:pPr>
              <w:jc w:val="center"/>
              <w:rPr>
                <w:szCs w:val="21"/>
              </w:rPr>
            </w:pPr>
            <w:r>
              <w:rPr>
                <w:rFonts w:hint="eastAsia"/>
                <w:szCs w:val="21"/>
              </w:rPr>
              <w:t>应用统计硕士</w:t>
            </w:r>
          </w:p>
        </w:tc>
        <w:tc>
          <w:tcPr>
            <w:tcW w:w="1350" w:type="dxa"/>
            <w:vAlign w:val="center"/>
          </w:tcPr>
          <w:p>
            <w:pPr>
              <w:jc w:val="center"/>
              <w:rPr>
                <w:szCs w:val="21"/>
              </w:rPr>
            </w:pPr>
            <w:r>
              <w:rPr>
                <w:rFonts w:hint="eastAsia"/>
                <w:szCs w:val="21"/>
                <w:lang w:val="en-US" w:eastAsia="zh-CN"/>
              </w:rPr>
              <w:t>2</w:t>
            </w:r>
            <w:r>
              <w:rPr>
                <w:rFonts w:hint="eastAsia"/>
                <w:szCs w:val="21"/>
              </w:rPr>
              <w:t>年</w:t>
            </w:r>
          </w:p>
        </w:tc>
        <w:tc>
          <w:tcPr>
            <w:tcW w:w="1387" w:type="dxa"/>
            <w:vAlign w:val="center"/>
          </w:tcPr>
          <w:p>
            <w:pPr>
              <w:jc w:val="center"/>
              <w:rPr>
                <w:szCs w:val="21"/>
              </w:rPr>
            </w:pPr>
            <w:r>
              <w:rPr>
                <w:rFonts w:hint="eastAsia"/>
                <w:szCs w:val="21"/>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rPr>
                <w:szCs w:val="21"/>
              </w:rPr>
            </w:pPr>
          </w:p>
        </w:tc>
        <w:tc>
          <w:tcPr>
            <w:tcW w:w="1376" w:type="dxa"/>
            <w:vMerge w:val="continue"/>
          </w:tcPr>
          <w:p>
            <w:pPr>
              <w:rPr>
                <w:szCs w:val="21"/>
              </w:rPr>
            </w:pPr>
          </w:p>
        </w:tc>
        <w:tc>
          <w:tcPr>
            <w:tcW w:w="2329" w:type="dxa"/>
            <w:vAlign w:val="center"/>
          </w:tcPr>
          <w:p>
            <w:pPr>
              <w:jc w:val="center"/>
              <w:rPr>
                <w:szCs w:val="21"/>
              </w:rPr>
            </w:pPr>
            <w:r>
              <w:rPr>
                <w:rFonts w:hint="eastAsia"/>
                <w:szCs w:val="21"/>
              </w:rPr>
              <w:t>法律硕士</w:t>
            </w:r>
          </w:p>
        </w:tc>
        <w:tc>
          <w:tcPr>
            <w:tcW w:w="1350" w:type="dxa"/>
            <w:vAlign w:val="center"/>
          </w:tcPr>
          <w:p>
            <w:pPr>
              <w:jc w:val="center"/>
              <w:rPr>
                <w:szCs w:val="21"/>
              </w:rPr>
            </w:pPr>
            <w:r>
              <w:rPr>
                <w:rFonts w:hint="eastAsia"/>
                <w:szCs w:val="21"/>
                <w:lang w:val="en-US" w:eastAsia="zh-CN"/>
              </w:rPr>
              <w:t>2/3</w:t>
            </w:r>
            <w:r>
              <w:rPr>
                <w:rFonts w:hint="eastAsia"/>
                <w:szCs w:val="21"/>
              </w:rPr>
              <w:t>年</w:t>
            </w:r>
          </w:p>
        </w:tc>
        <w:tc>
          <w:tcPr>
            <w:tcW w:w="1387" w:type="dxa"/>
            <w:vAlign w:val="center"/>
          </w:tcPr>
          <w:p>
            <w:pPr>
              <w:jc w:val="center"/>
              <w:rPr>
                <w:szCs w:val="21"/>
              </w:rPr>
            </w:pPr>
            <w:r>
              <w:rPr>
                <w:rFonts w:hint="eastAsia"/>
                <w:szCs w:val="21"/>
              </w:rPr>
              <w:t>≥</w:t>
            </w:r>
            <w:r>
              <w:rPr>
                <w:rFonts w:hint="eastAsia"/>
                <w:szCs w:val="21"/>
                <w:lang w:val="en-US" w:eastAsia="zh-CN"/>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rPr>
                <w:szCs w:val="21"/>
              </w:rPr>
            </w:pPr>
          </w:p>
        </w:tc>
        <w:tc>
          <w:tcPr>
            <w:tcW w:w="1376" w:type="dxa"/>
            <w:vMerge w:val="continue"/>
          </w:tcPr>
          <w:p>
            <w:pPr>
              <w:rPr>
                <w:szCs w:val="21"/>
              </w:rPr>
            </w:pPr>
          </w:p>
        </w:tc>
        <w:tc>
          <w:tcPr>
            <w:tcW w:w="2329" w:type="dxa"/>
            <w:vAlign w:val="center"/>
          </w:tcPr>
          <w:p>
            <w:pPr>
              <w:jc w:val="center"/>
              <w:rPr>
                <w:szCs w:val="21"/>
              </w:rPr>
            </w:pPr>
            <w:r>
              <w:rPr>
                <w:rFonts w:hint="eastAsia"/>
                <w:szCs w:val="21"/>
              </w:rPr>
              <w:t>翻译硕士（MTI）</w:t>
            </w:r>
          </w:p>
        </w:tc>
        <w:tc>
          <w:tcPr>
            <w:tcW w:w="1350" w:type="dxa"/>
            <w:vAlign w:val="center"/>
          </w:tcPr>
          <w:p>
            <w:pPr>
              <w:jc w:val="center"/>
              <w:rPr>
                <w:szCs w:val="21"/>
              </w:rPr>
            </w:pPr>
            <w:r>
              <w:rPr>
                <w:rFonts w:hint="eastAsia"/>
                <w:szCs w:val="21"/>
                <w:lang w:val="en-US" w:eastAsia="zh-CN"/>
              </w:rPr>
              <w:t>2.5</w:t>
            </w:r>
            <w:r>
              <w:rPr>
                <w:rFonts w:hint="eastAsia"/>
                <w:szCs w:val="21"/>
              </w:rPr>
              <w:t>年</w:t>
            </w:r>
          </w:p>
        </w:tc>
        <w:tc>
          <w:tcPr>
            <w:tcW w:w="1387" w:type="dxa"/>
            <w:vAlign w:val="center"/>
          </w:tcPr>
          <w:p>
            <w:pPr>
              <w:jc w:val="center"/>
              <w:rPr>
                <w:szCs w:val="21"/>
              </w:rPr>
            </w:pPr>
            <w:r>
              <w:rPr>
                <w:rFonts w:hint="eastAsia"/>
                <w:szCs w:val="21"/>
              </w:rPr>
              <w:t>≥</w:t>
            </w:r>
            <w:r>
              <w:rPr>
                <w:rFonts w:hint="eastAsia"/>
                <w:szCs w:val="21"/>
                <w:lang w:val="en-US" w:eastAsia="zh-CN"/>
              </w:rPr>
              <w:t>0.5</w:t>
            </w:r>
          </w:p>
        </w:tc>
        <w:tc>
          <w:tcPr>
            <w:tcW w:w="1538" w:type="dxa"/>
            <w:vAlign w:val="center"/>
          </w:tcPr>
          <w:p>
            <w:pPr>
              <w:jc w:val="center"/>
              <w:rPr>
                <w:szCs w:val="21"/>
              </w:rPr>
            </w:pPr>
            <w:r>
              <w:rPr>
                <w:rFonts w:hint="eastAsia"/>
                <w:szCs w:val="21"/>
              </w:rPr>
              <w:t>≥0.5</w:t>
            </w:r>
          </w:p>
        </w:tc>
        <w:tc>
          <w:tcPr>
            <w:tcW w:w="140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480" w:type="dxa"/>
            <w:vMerge w:val="continue"/>
          </w:tcPr>
          <w:p>
            <w:pPr>
              <w:rPr>
                <w:szCs w:val="21"/>
              </w:rPr>
            </w:pPr>
          </w:p>
        </w:tc>
        <w:tc>
          <w:tcPr>
            <w:tcW w:w="1376" w:type="dxa"/>
            <w:vAlign w:val="center"/>
          </w:tcPr>
          <w:p>
            <w:pPr>
              <w:jc w:val="center"/>
              <w:rPr>
                <w:szCs w:val="21"/>
              </w:rPr>
            </w:pPr>
            <w:r>
              <w:rPr>
                <w:rFonts w:hint="eastAsia"/>
                <w:szCs w:val="21"/>
              </w:rPr>
              <w:t>专业学位</w:t>
            </w:r>
          </w:p>
          <w:p>
            <w:pPr>
              <w:jc w:val="center"/>
              <w:rPr>
                <w:szCs w:val="21"/>
              </w:rPr>
            </w:pPr>
            <w:r>
              <w:rPr>
                <w:rFonts w:hint="eastAsia"/>
                <w:szCs w:val="21"/>
              </w:rPr>
              <w:t>（非全日制）</w:t>
            </w:r>
          </w:p>
        </w:tc>
        <w:tc>
          <w:tcPr>
            <w:tcW w:w="2329" w:type="dxa"/>
            <w:vAlign w:val="center"/>
          </w:tcPr>
          <w:p>
            <w:pPr>
              <w:jc w:val="center"/>
              <w:rPr>
                <w:szCs w:val="21"/>
              </w:rPr>
            </w:pPr>
            <w:r>
              <w:rPr>
                <w:rFonts w:hint="eastAsia"/>
                <w:szCs w:val="21"/>
              </w:rPr>
              <w:t>-</w:t>
            </w:r>
          </w:p>
        </w:tc>
        <w:tc>
          <w:tcPr>
            <w:tcW w:w="1350" w:type="dxa"/>
            <w:vAlign w:val="center"/>
          </w:tcPr>
          <w:p>
            <w:pPr>
              <w:jc w:val="center"/>
              <w:rPr>
                <w:szCs w:val="21"/>
              </w:rPr>
            </w:pPr>
            <w:r>
              <w:rPr>
                <w:rFonts w:hint="eastAsia"/>
                <w:szCs w:val="21"/>
              </w:rPr>
              <w:t>-</w:t>
            </w:r>
          </w:p>
        </w:tc>
        <w:tc>
          <w:tcPr>
            <w:tcW w:w="2925" w:type="dxa"/>
            <w:gridSpan w:val="2"/>
            <w:vAlign w:val="center"/>
          </w:tcPr>
          <w:p>
            <w:pPr>
              <w:jc w:val="center"/>
              <w:rPr>
                <w:szCs w:val="21"/>
              </w:rPr>
            </w:pPr>
            <w:r>
              <w:rPr>
                <w:rFonts w:hint="eastAsia"/>
                <w:szCs w:val="21"/>
              </w:rPr>
              <w:t>-</w:t>
            </w:r>
          </w:p>
        </w:tc>
        <w:tc>
          <w:tcPr>
            <w:tcW w:w="1402" w:type="dxa"/>
            <w:vAlign w:val="center"/>
          </w:tcPr>
          <w:p>
            <w:pPr>
              <w:jc w:val="center"/>
              <w:rPr>
                <w:szCs w:val="21"/>
              </w:rPr>
            </w:pPr>
            <w:r>
              <w:rPr>
                <w:rFonts w:hint="eastAsia"/>
                <w:szCs w:val="21"/>
              </w:rPr>
              <w:t>暂无要求</w:t>
            </w:r>
          </w:p>
        </w:tc>
      </w:tr>
    </w:tbl>
    <w:p>
      <w:pPr>
        <w:spacing w:line="440" w:lineRule="exact"/>
        <w:rPr>
          <w:rFonts w:hint="eastAsia"/>
          <w:sz w:val="24"/>
        </w:rPr>
      </w:pPr>
      <w:r>
        <w:rPr>
          <w:rFonts w:hint="eastAsia"/>
          <w:sz w:val="24"/>
        </w:rPr>
        <w:t>说明：</w:t>
      </w:r>
    </w:p>
    <w:p>
      <w:pPr>
        <w:numPr>
          <w:ilvl w:val="0"/>
          <w:numId w:val="0"/>
        </w:numPr>
        <w:spacing w:line="440" w:lineRule="exact"/>
        <w:rPr>
          <w:color w:val="FF0000"/>
          <w:sz w:val="24"/>
        </w:rPr>
      </w:pPr>
      <w:r>
        <w:rPr>
          <w:rFonts w:hint="eastAsia"/>
          <w:sz w:val="24"/>
          <w:lang w:val="en-US" w:eastAsia="zh-CN"/>
        </w:rPr>
        <w:t>1、</w:t>
      </w:r>
      <w:r>
        <w:rPr>
          <w:rFonts w:hint="eastAsia"/>
          <w:sz w:val="24"/>
        </w:rPr>
        <w:t>工学科学学位的2*分值表示：允许累加，但累加情况下应至少包括1篇E类论文</w:t>
      </w:r>
      <w:r>
        <w:rPr>
          <w:rFonts w:hint="eastAsia"/>
          <w:color w:val="000000" w:themeColor="text1"/>
          <w:sz w:val="24"/>
          <w:lang w:eastAsia="zh-CN"/>
        </w:rPr>
        <w:t>。</w:t>
      </w:r>
    </w:p>
    <w:p>
      <w:pPr>
        <w:numPr>
          <w:ilvl w:val="0"/>
          <w:numId w:val="0"/>
        </w:numPr>
        <w:spacing w:line="440" w:lineRule="exact"/>
        <w:rPr>
          <w:rFonts w:hint="eastAsia"/>
          <w:sz w:val="24"/>
        </w:rPr>
      </w:pPr>
      <w:r>
        <w:rPr>
          <w:rFonts w:hint="eastAsia"/>
          <w:color w:val="000000" w:themeColor="text1"/>
          <w:sz w:val="24"/>
          <w:lang w:val="en-US" w:eastAsia="zh-CN"/>
        </w:rPr>
        <w:t>2、</w:t>
      </w:r>
      <w:r>
        <w:rPr>
          <w:rFonts w:hint="eastAsia"/>
          <w:color w:val="000000" w:themeColor="text1"/>
          <w:sz w:val="24"/>
          <w:lang w:eastAsia="zh-CN"/>
        </w:rPr>
        <w:t>首</w:t>
      </w:r>
      <w:r>
        <w:rPr>
          <w:rFonts w:hint="eastAsia"/>
          <w:sz w:val="24"/>
          <w:lang w:eastAsia="zh-CN"/>
        </w:rPr>
        <w:t>批次毕业指学制内正常毕业的首批次，不包括提前毕业</w:t>
      </w:r>
      <w:r>
        <w:rPr>
          <w:rFonts w:hint="eastAsia"/>
          <w:sz w:val="24"/>
        </w:rPr>
        <w:t>。</w:t>
      </w:r>
    </w:p>
    <w:p>
      <w:pPr>
        <w:numPr>
          <w:ilvl w:val="0"/>
          <w:numId w:val="0"/>
        </w:numPr>
        <w:spacing w:line="440" w:lineRule="exact"/>
        <w:rPr>
          <w:color w:val="FF0000"/>
          <w:sz w:val="24"/>
        </w:rPr>
      </w:pPr>
      <w:r>
        <w:rPr>
          <w:rFonts w:hint="eastAsia"/>
          <w:sz w:val="24"/>
          <w:lang w:val="en-US" w:eastAsia="zh-CN"/>
        </w:rPr>
        <w:t>3、</w:t>
      </w:r>
      <w:r>
        <w:rPr>
          <w:rFonts w:hint="eastAsia"/>
          <w:sz w:val="24"/>
          <w:lang w:eastAsia="zh-CN"/>
        </w:rPr>
        <w:t>工程硕士</w:t>
      </w:r>
      <w:r>
        <w:rPr>
          <w:rFonts w:hint="eastAsia"/>
          <w:sz w:val="24"/>
          <w:lang w:val="en-US" w:eastAsia="zh-CN"/>
        </w:rPr>
        <w:t>A类适用于：物流工程、计算机技术、电子与通信工程、软件工程、电气工程、机械工程等领域。</w:t>
      </w:r>
      <w:r>
        <w:rPr>
          <w:rFonts w:hint="eastAsia"/>
          <w:sz w:val="24"/>
          <w:lang w:eastAsia="zh-CN"/>
        </w:rPr>
        <w:t>工程硕士</w:t>
      </w:r>
      <w:r>
        <w:rPr>
          <w:rFonts w:hint="eastAsia"/>
          <w:sz w:val="24"/>
          <w:lang w:val="en-US" w:eastAsia="zh-CN"/>
        </w:rPr>
        <w:t>B类适用于：水利工程、交通运输工程、船舶与海洋工程等领域。</w:t>
      </w:r>
    </w:p>
    <w:p>
      <w:pPr>
        <w:spacing w:line="440" w:lineRule="exact"/>
        <w:rPr>
          <w:color w:val="FF0000"/>
          <w:sz w:val="24"/>
        </w:rPr>
      </w:pPr>
    </w:p>
    <w:p>
      <w:pPr>
        <w:numPr>
          <w:ilvl w:val="0"/>
          <w:numId w:val="1"/>
        </w:numPr>
        <w:spacing w:line="440" w:lineRule="exact"/>
        <w:rPr>
          <w:b/>
          <w:bCs/>
          <w:sz w:val="28"/>
        </w:rPr>
      </w:pPr>
      <w:r>
        <w:rPr>
          <w:rFonts w:hint="eastAsia"/>
          <w:b/>
          <w:bCs/>
          <w:sz w:val="28"/>
        </w:rPr>
        <w:t>成果考核流程</w:t>
      </w:r>
    </w:p>
    <w:p>
      <w:pPr>
        <w:spacing w:line="440" w:lineRule="exact"/>
        <w:ind w:firstLine="420"/>
        <w:rPr>
          <w:sz w:val="24"/>
        </w:rPr>
      </w:pPr>
    </w:p>
    <w:p>
      <w:pPr>
        <w:spacing w:line="440" w:lineRule="exact"/>
        <w:ind w:firstLine="420"/>
        <w:rPr>
          <w:rFonts w:hint="eastAsia"/>
          <w:sz w:val="24"/>
        </w:rPr>
      </w:pPr>
      <w:r>
        <w:rPr>
          <w:rFonts w:hint="eastAsia"/>
          <w:sz w:val="24"/>
        </w:rPr>
        <w:t>按照学位授予要求和相关工作安排，学校每年召开三次校学位评定委员会审核博士、硕士学位授予事项。学位论文答辩工作包括论文查重、双盲抽检、论文答辩等，一般在校学位评定委员会召开前2-3个月开展。</w:t>
      </w:r>
    </w:p>
    <w:p>
      <w:pPr>
        <w:spacing w:line="440" w:lineRule="exact"/>
        <w:ind w:firstLine="420"/>
        <w:rPr>
          <w:color w:val="000000" w:themeColor="text1"/>
          <w:sz w:val="24"/>
        </w:rPr>
      </w:pPr>
      <w:r>
        <w:rPr>
          <w:rFonts w:hint="eastAsia"/>
          <w:sz w:val="24"/>
        </w:rPr>
        <w:t>本文件所规定的成果考核应在学位论文答辩工作前完成。在成果考核环节中，各学院应</w:t>
      </w:r>
      <w:r>
        <w:rPr>
          <w:rFonts w:hint="eastAsia"/>
          <w:sz w:val="24"/>
          <w:lang w:eastAsia="zh-CN"/>
        </w:rPr>
        <w:t>按照</w:t>
      </w:r>
      <w:r>
        <w:rPr>
          <w:rFonts w:hint="eastAsia"/>
          <w:sz w:val="24"/>
        </w:rPr>
        <w:t>流程，对学位申请人所取得的成果严格把关，对未能达到要求的，应建议申请人推迟进入论文答辩环节。具体</w:t>
      </w:r>
      <w:r>
        <w:rPr>
          <w:rFonts w:hint="eastAsia"/>
          <w:color w:val="000000" w:themeColor="text1"/>
          <w:sz w:val="24"/>
        </w:rPr>
        <w:t>操作流程如下：</w:t>
      </w:r>
    </w:p>
    <w:p>
      <w:pPr>
        <w:numPr>
          <w:ilvl w:val="0"/>
          <w:numId w:val="9"/>
        </w:numPr>
        <w:spacing w:line="440" w:lineRule="exact"/>
        <w:rPr>
          <w:rFonts w:hint="eastAsia"/>
          <w:b/>
          <w:color w:val="000000" w:themeColor="text1"/>
          <w:sz w:val="24"/>
        </w:rPr>
      </w:pPr>
      <w:r>
        <w:rPr>
          <w:rFonts w:hint="eastAsia"/>
          <w:b/>
          <w:color w:val="000000" w:themeColor="text1"/>
          <w:sz w:val="24"/>
        </w:rPr>
        <w:t>个人申请</w:t>
      </w:r>
    </w:p>
    <w:p>
      <w:pPr>
        <w:spacing w:line="440" w:lineRule="exact"/>
        <w:ind w:firstLine="566" w:firstLineChars="236"/>
        <w:rPr>
          <w:color w:val="000000" w:themeColor="text1"/>
          <w:sz w:val="24"/>
        </w:rPr>
      </w:pPr>
      <w:r>
        <w:rPr>
          <w:rFonts w:hint="eastAsia"/>
          <w:color w:val="000000" w:themeColor="text1"/>
          <w:sz w:val="24"/>
        </w:rPr>
        <w:t>申请人应在学位论文答辩工作启动前1个月完成自我评估，填写《上海海事大学研究生学位授予成果考核申请表》（附件一）并附上相关证明材料递交学院。</w:t>
      </w:r>
      <w:r>
        <w:rPr>
          <w:rFonts w:hint="eastAsia"/>
          <w:color w:val="000000" w:themeColor="text1"/>
          <w:sz w:val="24"/>
          <w:lang w:eastAsia="zh-CN"/>
        </w:rPr>
        <w:t>申请人如获得个性化成果或本文件规定之外的其他成果，也可填写申请表并自我评估。</w:t>
      </w:r>
    </w:p>
    <w:p>
      <w:pPr>
        <w:numPr>
          <w:ilvl w:val="0"/>
          <w:numId w:val="9"/>
        </w:numPr>
        <w:spacing w:line="440" w:lineRule="exact"/>
        <w:rPr>
          <w:rFonts w:hint="eastAsia"/>
          <w:b/>
          <w:color w:val="000000" w:themeColor="text1"/>
          <w:sz w:val="24"/>
        </w:rPr>
      </w:pPr>
      <w:r>
        <w:rPr>
          <w:rFonts w:hint="eastAsia"/>
          <w:b/>
          <w:color w:val="000000" w:themeColor="text1"/>
          <w:sz w:val="24"/>
          <w:lang w:eastAsia="zh-CN"/>
        </w:rPr>
        <w:t>学位评定分委员会、学院</w:t>
      </w:r>
      <w:r>
        <w:rPr>
          <w:rFonts w:hint="eastAsia"/>
          <w:b/>
          <w:color w:val="000000" w:themeColor="text1"/>
          <w:sz w:val="24"/>
        </w:rPr>
        <w:t>审查</w:t>
      </w:r>
    </w:p>
    <w:p>
      <w:pPr>
        <w:spacing w:line="440" w:lineRule="exact"/>
        <w:ind w:firstLine="566" w:firstLineChars="236"/>
        <w:rPr>
          <w:color w:val="000000" w:themeColor="text1"/>
          <w:sz w:val="24"/>
        </w:rPr>
      </w:pPr>
      <w:r>
        <w:rPr>
          <w:rFonts w:hint="eastAsia"/>
          <w:color w:val="000000" w:themeColor="text1"/>
          <w:sz w:val="24"/>
          <w:lang w:eastAsia="zh-CN"/>
        </w:rPr>
        <w:t>各学位评定分委员会</w:t>
      </w:r>
      <w:r>
        <w:rPr>
          <w:rFonts w:hint="eastAsia"/>
          <w:color w:val="000000" w:themeColor="text1"/>
          <w:sz w:val="24"/>
        </w:rPr>
        <w:t>应在学位论文答辩工作启动前20天对相关材料进行审查，对符合条件者进行公示（附件二），公示满5个工作日无异议后上报研究生院。对</w:t>
      </w:r>
      <w:r>
        <w:rPr>
          <w:rFonts w:hint="eastAsia"/>
          <w:color w:val="000000" w:themeColor="text1"/>
          <w:sz w:val="24"/>
          <w:lang w:eastAsia="zh-CN"/>
        </w:rPr>
        <w:t>申请人提交的个性化成果，本文件规定之外的其他成果，或</w:t>
      </w:r>
      <w:r>
        <w:rPr>
          <w:rFonts w:hint="eastAsia"/>
          <w:color w:val="000000" w:themeColor="text1"/>
          <w:sz w:val="24"/>
        </w:rPr>
        <w:t>存有异议的成果，相应的学位评定分</w:t>
      </w:r>
      <w:r>
        <w:rPr>
          <w:rFonts w:hint="eastAsia"/>
          <w:color w:val="000000" w:themeColor="text1"/>
          <w:sz w:val="24"/>
          <w:lang w:eastAsia="zh-CN"/>
        </w:rPr>
        <w:t>委员</w:t>
      </w:r>
      <w:r>
        <w:rPr>
          <w:rFonts w:hint="eastAsia"/>
          <w:color w:val="000000" w:themeColor="text1"/>
          <w:sz w:val="24"/>
        </w:rPr>
        <w:t>会进行评议</w:t>
      </w:r>
      <w:r>
        <w:rPr>
          <w:rFonts w:hint="eastAsia"/>
          <w:color w:val="000000" w:themeColor="text1"/>
          <w:sz w:val="24"/>
          <w:lang w:eastAsia="zh-CN"/>
        </w:rPr>
        <w:t>、</w:t>
      </w:r>
      <w:r>
        <w:rPr>
          <w:rFonts w:hint="eastAsia"/>
          <w:color w:val="000000" w:themeColor="text1"/>
          <w:sz w:val="24"/>
        </w:rPr>
        <w:t>裁定</w:t>
      </w:r>
      <w:r>
        <w:rPr>
          <w:rFonts w:hint="eastAsia"/>
          <w:color w:val="000000" w:themeColor="text1"/>
          <w:sz w:val="24"/>
          <w:lang w:eastAsia="zh-CN"/>
        </w:rPr>
        <w:t>并打分</w:t>
      </w:r>
      <w:r>
        <w:rPr>
          <w:rFonts w:hint="eastAsia"/>
          <w:color w:val="000000" w:themeColor="text1"/>
          <w:sz w:val="24"/>
        </w:rPr>
        <w:t>。</w:t>
      </w:r>
    </w:p>
    <w:p>
      <w:pPr>
        <w:numPr>
          <w:ilvl w:val="0"/>
          <w:numId w:val="9"/>
        </w:numPr>
        <w:spacing w:line="440" w:lineRule="exact"/>
        <w:rPr>
          <w:rFonts w:hint="eastAsia"/>
          <w:b/>
          <w:color w:val="000000" w:themeColor="text1"/>
          <w:sz w:val="24"/>
        </w:rPr>
      </w:pPr>
      <w:r>
        <w:rPr>
          <w:rFonts w:hint="eastAsia"/>
          <w:b/>
          <w:color w:val="000000" w:themeColor="text1"/>
          <w:sz w:val="24"/>
        </w:rPr>
        <w:t>研究生院审核备案</w:t>
      </w:r>
    </w:p>
    <w:p>
      <w:pPr>
        <w:spacing w:line="440" w:lineRule="exact"/>
        <w:ind w:firstLine="566" w:firstLineChars="236"/>
        <w:rPr>
          <w:color w:val="000000" w:themeColor="text1"/>
          <w:sz w:val="24"/>
        </w:rPr>
      </w:pPr>
      <w:r>
        <w:rPr>
          <w:rFonts w:hint="eastAsia"/>
          <w:color w:val="000000" w:themeColor="text1"/>
          <w:sz w:val="24"/>
        </w:rPr>
        <w:t>研究生院应在学位论文答辩工作启动前10天对各学院提交的材料进行审核备案，对审核通过的申请人启动学位论文答辩工作程序。</w:t>
      </w:r>
    </w:p>
    <w:p>
      <w:pPr>
        <w:spacing w:line="440" w:lineRule="exact"/>
        <w:rPr>
          <w:color w:val="000000" w:themeColor="text1"/>
          <w:sz w:val="24"/>
        </w:rPr>
      </w:pPr>
    </w:p>
    <w:p>
      <w:pPr>
        <w:numPr>
          <w:ilvl w:val="0"/>
          <w:numId w:val="1"/>
        </w:numPr>
        <w:spacing w:line="440" w:lineRule="exact"/>
        <w:rPr>
          <w:b/>
          <w:bCs/>
          <w:sz w:val="28"/>
        </w:rPr>
      </w:pPr>
      <w:r>
        <w:rPr>
          <w:rFonts w:hint="eastAsia"/>
          <w:b/>
          <w:bCs/>
          <w:sz w:val="28"/>
        </w:rPr>
        <w:t>经费保障与激励措施</w:t>
      </w:r>
    </w:p>
    <w:p>
      <w:pPr>
        <w:spacing w:line="440" w:lineRule="exact"/>
        <w:rPr>
          <w:sz w:val="24"/>
        </w:rPr>
      </w:pPr>
    </w:p>
    <w:p>
      <w:pPr>
        <w:numPr>
          <w:ilvl w:val="0"/>
          <w:numId w:val="10"/>
        </w:numPr>
        <w:spacing w:line="440" w:lineRule="exact"/>
        <w:rPr>
          <w:sz w:val="24"/>
        </w:rPr>
      </w:pPr>
      <w:r>
        <w:rPr>
          <w:rFonts w:hint="eastAsia"/>
          <w:sz w:val="24"/>
        </w:rPr>
        <w:t>根据《上海海事大学研究生培养业务经费管理和使用办法》，研究生培养业务经费是鼓励研究生在培养过程中参与相关专业科研活动，提高研究生学术能力和研究水平的重要保障，应用于</w:t>
      </w:r>
      <w:r>
        <w:rPr>
          <w:rFonts w:hint="eastAsia"/>
          <w:sz w:val="24"/>
          <w:lang w:eastAsia="zh-CN"/>
        </w:rPr>
        <w:t>论文</w:t>
      </w:r>
      <w:r>
        <w:rPr>
          <w:rFonts w:hint="eastAsia"/>
          <w:sz w:val="24"/>
        </w:rPr>
        <w:t>成果发表、知识产权申请、出版物出版、学术交流、参加各类竞赛、境外研学等活动。</w:t>
      </w:r>
    </w:p>
    <w:p>
      <w:pPr>
        <w:numPr>
          <w:ilvl w:val="0"/>
          <w:numId w:val="10"/>
        </w:numPr>
        <w:spacing w:line="440" w:lineRule="exact"/>
        <w:rPr>
          <w:sz w:val="24"/>
        </w:rPr>
      </w:pPr>
      <w:r>
        <w:rPr>
          <w:rFonts w:hint="eastAsia"/>
          <w:sz w:val="24"/>
          <w:lang w:eastAsia="zh-CN"/>
        </w:rPr>
        <w:t>研究生取得学位授予成果应本着节俭原则。发生费用如果超出学校发放的研究生培养业务经费额度，由学生自行承担。学校</w:t>
      </w:r>
      <w:r>
        <w:rPr>
          <w:rFonts w:hint="eastAsia"/>
          <w:sz w:val="24"/>
        </w:rPr>
        <w:t>鼓励导师对研究生的学术活动和成果取得给予资助。</w:t>
      </w:r>
    </w:p>
    <w:p>
      <w:pPr>
        <w:numPr>
          <w:ilvl w:val="0"/>
          <w:numId w:val="10"/>
        </w:numPr>
        <w:spacing w:line="440" w:lineRule="exact"/>
        <w:rPr>
          <w:sz w:val="24"/>
        </w:rPr>
      </w:pPr>
      <w:r>
        <w:rPr>
          <w:rFonts w:hint="eastAsia"/>
          <w:sz w:val="24"/>
        </w:rPr>
        <w:t>研究生院、学院等部门对研究生境外研学等活动给予资助，具体的资助办法参照《上海海事大学研究生境外研学项目管理办法》。</w:t>
      </w:r>
    </w:p>
    <w:p>
      <w:pPr>
        <w:numPr>
          <w:ilvl w:val="0"/>
          <w:numId w:val="10"/>
        </w:numPr>
        <w:spacing w:line="440" w:lineRule="exact"/>
        <w:rPr>
          <w:sz w:val="24"/>
        </w:rPr>
      </w:pPr>
      <w:r>
        <w:rPr>
          <w:rFonts w:hint="eastAsia"/>
          <w:sz w:val="24"/>
        </w:rPr>
        <w:t>研究生院对取得优秀成果的研究生给予奖励。对取得高水平论文、发明专利、优秀出版物、竞赛获奖、优秀案例等优秀成果的研究生进行评选奖励，具体见当年通知。</w:t>
      </w:r>
    </w:p>
    <w:p>
      <w:pPr>
        <w:numPr>
          <w:ilvl w:val="0"/>
          <w:numId w:val="10"/>
        </w:numPr>
        <w:spacing w:line="440" w:lineRule="exact"/>
        <w:rPr>
          <w:sz w:val="24"/>
        </w:rPr>
      </w:pPr>
      <w:r>
        <w:rPr>
          <w:rFonts w:hint="eastAsia"/>
          <w:sz w:val="24"/>
        </w:rPr>
        <w:t>为充分调动研究生从事科学研究的积极性，提高研究生培养质量，促进研究生全面发展，国家奖学金、学业奖学金、上海市优秀毕业生等评奖评优活动与本文件的要求挂钩，具体参照当年评奖评优通知。</w:t>
      </w:r>
    </w:p>
    <w:p>
      <w:pPr>
        <w:spacing w:line="440" w:lineRule="exact"/>
        <w:rPr>
          <w:sz w:val="24"/>
        </w:rPr>
      </w:pPr>
    </w:p>
    <w:p>
      <w:pPr>
        <w:numPr>
          <w:ilvl w:val="0"/>
          <w:numId w:val="1"/>
        </w:numPr>
        <w:spacing w:line="440" w:lineRule="exact"/>
        <w:rPr>
          <w:b/>
          <w:bCs/>
          <w:sz w:val="28"/>
        </w:rPr>
      </w:pPr>
      <w:r>
        <w:rPr>
          <w:rFonts w:hint="eastAsia"/>
          <w:b/>
          <w:bCs/>
          <w:sz w:val="28"/>
        </w:rPr>
        <w:t>附则</w:t>
      </w:r>
    </w:p>
    <w:p>
      <w:pPr>
        <w:spacing w:line="440" w:lineRule="exact"/>
        <w:rPr>
          <w:sz w:val="24"/>
        </w:rPr>
      </w:pPr>
    </w:p>
    <w:p>
      <w:pPr>
        <w:numPr>
          <w:ilvl w:val="0"/>
          <w:numId w:val="11"/>
        </w:numPr>
        <w:spacing w:line="440" w:lineRule="exact"/>
        <w:rPr>
          <w:rFonts w:hint="eastAsia"/>
          <w:sz w:val="24"/>
        </w:rPr>
      </w:pPr>
      <w:r>
        <w:rPr>
          <w:rFonts w:hint="eastAsia"/>
          <w:sz w:val="24"/>
        </w:rPr>
        <w:t>各学院、学位评定分委员会可以在本文件基础上提出更加适合本学科研究生培养质量标准和自身学科发展需要的细化成果要求，</w:t>
      </w:r>
      <w:r>
        <w:rPr>
          <w:rFonts w:hint="eastAsia"/>
          <w:sz w:val="24"/>
          <w:lang w:eastAsia="zh-CN"/>
        </w:rPr>
        <w:t>原则上不得低于本文件之要求，</w:t>
      </w:r>
      <w:r>
        <w:rPr>
          <w:rFonts w:hint="eastAsia"/>
          <w:sz w:val="24"/>
        </w:rPr>
        <w:t>并报研究生院审核备案后执行。</w:t>
      </w:r>
    </w:p>
    <w:p>
      <w:pPr>
        <w:numPr>
          <w:ilvl w:val="0"/>
          <w:numId w:val="11"/>
        </w:numPr>
        <w:spacing w:line="440" w:lineRule="exact"/>
        <w:rPr>
          <w:sz w:val="24"/>
        </w:rPr>
      </w:pPr>
      <w:r>
        <w:rPr>
          <w:rFonts w:hint="eastAsia"/>
          <w:sz w:val="24"/>
          <w:lang w:eastAsia="zh-CN"/>
        </w:rPr>
        <w:t>导师可以在本文件基础上提出更加适合所指导学生的细化成果要求，原则上不得低于本文件之要求。</w:t>
      </w:r>
    </w:p>
    <w:p>
      <w:pPr>
        <w:numPr>
          <w:ilvl w:val="0"/>
          <w:numId w:val="11"/>
        </w:numPr>
        <w:spacing w:line="440" w:lineRule="exact"/>
        <w:rPr>
          <w:sz w:val="24"/>
        </w:rPr>
      </w:pPr>
      <w:r>
        <w:rPr>
          <w:rFonts w:hint="eastAsia"/>
          <w:sz w:val="24"/>
        </w:rPr>
        <w:t>本文件部分分值设置参考《上海海事大学科技工作量计算办法》。</w:t>
      </w:r>
    </w:p>
    <w:p>
      <w:pPr>
        <w:numPr>
          <w:ilvl w:val="0"/>
          <w:numId w:val="11"/>
        </w:numPr>
        <w:spacing w:line="440" w:lineRule="exact"/>
        <w:rPr>
          <w:sz w:val="24"/>
        </w:rPr>
      </w:pPr>
      <w:r>
        <w:rPr>
          <w:rFonts w:hint="eastAsia"/>
          <w:sz w:val="24"/>
        </w:rPr>
        <w:t>本文件</w:t>
      </w:r>
      <w:r>
        <w:rPr>
          <w:rFonts w:hint="eastAsia"/>
          <w:sz w:val="24"/>
          <w:lang w:eastAsia="zh-CN"/>
        </w:rPr>
        <w:t>适用于</w:t>
      </w:r>
      <w:r>
        <w:rPr>
          <w:rFonts w:hint="eastAsia"/>
          <w:sz w:val="24"/>
        </w:rPr>
        <w:t>201</w:t>
      </w:r>
      <w:r>
        <w:rPr>
          <w:rFonts w:hint="eastAsia"/>
          <w:sz w:val="24"/>
          <w:lang w:val="en-US" w:eastAsia="zh-CN"/>
        </w:rPr>
        <w:t>8</w:t>
      </w:r>
      <w:r>
        <w:rPr>
          <w:rFonts w:hint="eastAsia"/>
          <w:sz w:val="24"/>
        </w:rPr>
        <w:t>级研究生。</w:t>
      </w:r>
    </w:p>
    <w:p>
      <w:pPr>
        <w:numPr>
          <w:ilvl w:val="0"/>
          <w:numId w:val="11"/>
        </w:numPr>
        <w:spacing w:line="440" w:lineRule="exact"/>
        <w:rPr>
          <w:sz w:val="24"/>
        </w:rPr>
      </w:pPr>
      <w:r>
        <w:rPr>
          <w:rFonts w:hint="eastAsia"/>
          <w:bCs/>
          <w:sz w:val="24"/>
        </w:rPr>
        <w:t>国际学生</w:t>
      </w:r>
      <w:r>
        <w:rPr>
          <w:rFonts w:hint="eastAsia"/>
          <w:sz w:val="24"/>
        </w:rPr>
        <w:t>的学位授予成果要求可参考本文件执行。</w:t>
      </w:r>
    </w:p>
    <w:p>
      <w:pPr>
        <w:numPr>
          <w:ilvl w:val="0"/>
          <w:numId w:val="11"/>
        </w:numPr>
        <w:spacing w:line="440" w:lineRule="exact"/>
        <w:rPr>
          <w:sz w:val="24"/>
        </w:rPr>
      </w:pPr>
      <w:r>
        <w:rPr>
          <w:rFonts w:hint="eastAsia"/>
          <w:sz w:val="24"/>
        </w:rPr>
        <w:t>本文件由研究生院负责解释。</w:t>
      </w:r>
    </w:p>
    <w:p>
      <w:pPr>
        <w:spacing w:line="440" w:lineRule="exact"/>
        <w:rPr>
          <w:sz w:val="24"/>
        </w:rPr>
      </w:pPr>
      <w:r>
        <w:rPr>
          <w:rFonts w:hint="eastAsia"/>
          <w:sz w:val="24"/>
        </w:rPr>
        <w:br w:type="page"/>
      </w:r>
    </w:p>
    <w:p>
      <w:pPr>
        <w:spacing w:line="440" w:lineRule="exact"/>
        <w:rPr>
          <w:sz w:val="24"/>
        </w:rPr>
      </w:pPr>
      <w:r>
        <w:rPr>
          <w:rFonts w:hint="eastAsia"/>
          <w:sz w:val="24"/>
        </w:rPr>
        <w:t>附件一：</w:t>
      </w:r>
    </w:p>
    <w:tbl>
      <w:tblPr>
        <w:tblStyle w:val="9"/>
        <w:tblpPr w:leftFromText="180" w:rightFromText="180" w:vertAnchor="text" w:horzAnchor="page" w:tblpX="802" w:tblpY="655"/>
        <w:tblOverlap w:val="never"/>
        <w:tblW w:w="10910" w:type="dxa"/>
        <w:tblInd w:w="0" w:type="dxa"/>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70"/>
        <w:gridCol w:w="1119"/>
        <w:gridCol w:w="226"/>
        <w:gridCol w:w="2070"/>
        <w:gridCol w:w="1095"/>
        <w:gridCol w:w="86"/>
        <w:gridCol w:w="829"/>
        <w:gridCol w:w="885"/>
        <w:gridCol w:w="1200"/>
        <w:gridCol w:w="1355"/>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7" w:hRule="atLeast"/>
        </w:trPr>
        <w:tc>
          <w:tcPr>
            <w:tcW w:w="675" w:type="dxa"/>
            <w:tcBorders>
              <w:top w:val="single" w:color="auto" w:sz="12" w:space="0"/>
              <w:left w:val="single" w:color="auto" w:sz="12" w:space="0"/>
            </w:tcBorders>
            <w:vAlign w:val="center"/>
          </w:tcPr>
          <w:p>
            <w:pPr>
              <w:jc w:val="center"/>
              <w:rPr>
                <w:rFonts w:ascii="楷体_GB2312" w:eastAsia="楷体_GB2312"/>
                <w:sz w:val="15"/>
              </w:rPr>
            </w:pPr>
            <w:r>
              <w:rPr>
                <w:rFonts w:hint="eastAsia" w:ascii="楷体_GB2312" w:eastAsia="楷体_GB2312"/>
              </w:rPr>
              <w:t>学院</w:t>
            </w:r>
          </w:p>
        </w:tc>
        <w:tc>
          <w:tcPr>
            <w:tcW w:w="1370" w:type="dxa"/>
            <w:tcBorders>
              <w:top w:val="single" w:color="auto" w:sz="12" w:space="0"/>
            </w:tcBorders>
            <w:vAlign w:val="center"/>
          </w:tcPr>
          <w:p>
            <w:pPr>
              <w:jc w:val="center"/>
              <w:rPr>
                <w:rFonts w:ascii="楷体_GB2312" w:eastAsia="楷体_GB2312"/>
              </w:rPr>
            </w:pPr>
          </w:p>
        </w:tc>
        <w:tc>
          <w:tcPr>
            <w:tcW w:w="1345" w:type="dxa"/>
            <w:gridSpan w:val="2"/>
            <w:tcBorders>
              <w:top w:val="single" w:color="auto" w:sz="12" w:space="0"/>
            </w:tcBorders>
            <w:vAlign w:val="center"/>
          </w:tcPr>
          <w:p>
            <w:pPr>
              <w:jc w:val="center"/>
              <w:rPr>
                <w:rFonts w:ascii="楷体_GB2312" w:eastAsia="楷体_GB2312"/>
              </w:rPr>
            </w:pPr>
            <w:r>
              <w:rPr>
                <w:rFonts w:hint="eastAsia" w:ascii="楷体_GB2312" w:eastAsia="楷体_GB2312"/>
              </w:rPr>
              <w:t>专业</w:t>
            </w:r>
          </w:p>
        </w:tc>
        <w:tc>
          <w:tcPr>
            <w:tcW w:w="2070" w:type="dxa"/>
            <w:tcBorders>
              <w:top w:val="single" w:color="auto" w:sz="12" w:space="0"/>
            </w:tcBorders>
            <w:vAlign w:val="center"/>
          </w:tcPr>
          <w:p>
            <w:pPr>
              <w:jc w:val="center"/>
              <w:rPr>
                <w:rFonts w:ascii="楷体_GB2312" w:eastAsia="楷体_GB2312"/>
              </w:rPr>
            </w:pPr>
          </w:p>
        </w:tc>
        <w:tc>
          <w:tcPr>
            <w:tcW w:w="1095" w:type="dxa"/>
            <w:tcBorders>
              <w:top w:val="single" w:color="auto" w:sz="12" w:space="0"/>
            </w:tcBorders>
            <w:vAlign w:val="center"/>
          </w:tcPr>
          <w:p>
            <w:pPr>
              <w:jc w:val="center"/>
              <w:rPr>
                <w:rFonts w:ascii="楷体_GB2312" w:eastAsia="楷体_GB2312"/>
              </w:rPr>
            </w:pPr>
            <w:r>
              <w:rPr>
                <w:rFonts w:hint="eastAsia" w:ascii="楷体_GB2312" w:eastAsia="楷体_GB2312"/>
              </w:rPr>
              <w:t>学号</w:t>
            </w:r>
          </w:p>
        </w:tc>
        <w:tc>
          <w:tcPr>
            <w:tcW w:w="1800" w:type="dxa"/>
            <w:gridSpan w:val="3"/>
            <w:tcBorders>
              <w:top w:val="single" w:color="auto" w:sz="12" w:space="0"/>
            </w:tcBorders>
            <w:vAlign w:val="center"/>
          </w:tcPr>
          <w:p>
            <w:pPr>
              <w:jc w:val="center"/>
              <w:rPr>
                <w:rFonts w:ascii="楷体_GB2312" w:eastAsia="楷体_GB2312"/>
              </w:rPr>
            </w:pPr>
          </w:p>
        </w:tc>
        <w:tc>
          <w:tcPr>
            <w:tcW w:w="1200" w:type="dxa"/>
            <w:tcBorders>
              <w:top w:val="single" w:color="auto" w:sz="12" w:space="0"/>
              <w:right w:val="single" w:color="auto" w:sz="4" w:space="0"/>
            </w:tcBorders>
            <w:vAlign w:val="center"/>
          </w:tcPr>
          <w:p>
            <w:pPr>
              <w:jc w:val="center"/>
              <w:rPr>
                <w:rFonts w:ascii="楷体_GB2312" w:eastAsia="楷体_GB2312"/>
              </w:rPr>
            </w:pPr>
            <w:r>
              <w:rPr>
                <w:rFonts w:hint="eastAsia" w:ascii="楷体_GB2312" w:eastAsia="楷体_GB2312"/>
              </w:rPr>
              <w:t>姓名</w:t>
            </w:r>
          </w:p>
        </w:tc>
        <w:tc>
          <w:tcPr>
            <w:tcW w:w="1355" w:type="dxa"/>
            <w:tcBorders>
              <w:top w:val="single" w:color="auto" w:sz="12" w:space="0"/>
              <w:left w:val="single" w:color="auto" w:sz="4" w:space="0"/>
              <w:right w:val="single" w:color="auto" w:sz="12" w:space="0"/>
            </w:tcBorders>
            <w:vAlign w:val="center"/>
          </w:tcPr>
          <w:p>
            <w:pPr>
              <w:jc w:val="cente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47" w:hRule="atLeast"/>
        </w:trPr>
        <w:tc>
          <w:tcPr>
            <w:tcW w:w="675" w:type="dxa"/>
            <w:tcBorders>
              <w:top w:val="single" w:color="auto" w:sz="6" w:space="0"/>
              <w:left w:val="single" w:color="auto" w:sz="12" w:space="0"/>
              <w:right w:val="single" w:color="auto" w:sz="6" w:space="0"/>
            </w:tcBorders>
            <w:vAlign w:val="center"/>
          </w:tcPr>
          <w:p>
            <w:pPr>
              <w:jc w:val="center"/>
              <w:rPr>
                <w:rFonts w:ascii="楷体_GB2312" w:eastAsia="楷体_GB2312"/>
              </w:rPr>
            </w:pPr>
            <w:r>
              <w:rPr>
                <w:rFonts w:hint="eastAsia" w:ascii="楷体_GB2312" w:eastAsia="楷体_GB2312"/>
              </w:rPr>
              <w:t>申请日期</w:t>
            </w:r>
          </w:p>
        </w:tc>
        <w:tc>
          <w:tcPr>
            <w:tcW w:w="4785" w:type="dxa"/>
            <w:gridSpan w:val="4"/>
            <w:tcBorders>
              <w:top w:val="single" w:color="auto" w:sz="6" w:space="0"/>
              <w:left w:val="single" w:color="auto" w:sz="6" w:space="0"/>
              <w:right w:val="single" w:color="auto" w:sz="6" w:space="0"/>
            </w:tcBorders>
            <w:vAlign w:val="center"/>
          </w:tcPr>
          <w:p>
            <w:pPr>
              <w:jc w:val="center"/>
              <w:rPr>
                <w:rFonts w:ascii="楷体_GB2312" w:eastAsia="楷体_GB2312"/>
              </w:rPr>
            </w:pPr>
          </w:p>
        </w:tc>
        <w:tc>
          <w:tcPr>
            <w:tcW w:w="1095" w:type="dxa"/>
            <w:tcBorders>
              <w:top w:val="single" w:color="auto" w:sz="6"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攻读学位(打</w:t>
            </w:r>
            <w:r>
              <w:rPr>
                <w:rFonts w:hint="eastAsia" w:ascii="楷体_GB2312" w:eastAsia="楷体_GB2312"/>
              </w:rPr>
              <w:sym w:font="Marlett" w:char="F061"/>
            </w:r>
            <w:r>
              <w:rPr>
                <w:rFonts w:hint="eastAsia" w:ascii="楷体_GB2312" w:eastAsia="楷体_GB2312"/>
              </w:rPr>
              <w:t>)</w:t>
            </w:r>
          </w:p>
        </w:tc>
        <w:tc>
          <w:tcPr>
            <w:tcW w:w="915" w:type="dxa"/>
            <w:gridSpan w:val="2"/>
            <w:tcBorders>
              <w:top w:val="single" w:color="auto" w:sz="6"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博士</w:t>
            </w:r>
          </w:p>
        </w:tc>
        <w:tc>
          <w:tcPr>
            <w:tcW w:w="885" w:type="dxa"/>
            <w:tcBorders>
              <w:top w:val="single" w:color="auto" w:sz="6"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科学学位硕士</w:t>
            </w:r>
          </w:p>
        </w:tc>
        <w:tc>
          <w:tcPr>
            <w:tcW w:w="2555" w:type="dxa"/>
            <w:gridSpan w:val="2"/>
            <w:tcBorders>
              <w:top w:val="single" w:color="auto" w:sz="6" w:space="0"/>
              <w:left w:val="single" w:color="auto" w:sz="6" w:space="0"/>
              <w:right w:val="single" w:color="auto" w:sz="12" w:space="0"/>
            </w:tcBorders>
            <w:vAlign w:val="center"/>
          </w:tcPr>
          <w:p>
            <w:pPr>
              <w:jc w:val="center"/>
              <w:rPr>
                <w:rFonts w:ascii="楷体_GB2312" w:eastAsia="楷体_GB2312"/>
              </w:rPr>
            </w:pPr>
            <w:r>
              <w:rPr>
                <w:rFonts w:hint="eastAsia" w:ascii="楷体_GB2312" w:eastAsia="楷体_GB2312"/>
              </w:rPr>
              <w:t>专业学位硕士（全日制）</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2" w:hRule="atLeast"/>
        </w:trPr>
        <w:tc>
          <w:tcPr>
            <w:tcW w:w="675" w:type="dxa"/>
            <w:tcBorders>
              <w:top w:val="single" w:color="auto" w:sz="6" w:space="0"/>
              <w:left w:val="single" w:color="auto" w:sz="12" w:space="0"/>
              <w:right w:val="single" w:color="auto" w:sz="6" w:space="0"/>
            </w:tcBorders>
            <w:vAlign w:val="center"/>
          </w:tcPr>
          <w:p>
            <w:pPr>
              <w:jc w:val="center"/>
              <w:rPr>
                <w:rFonts w:ascii="楷体_GB2312" w:eastAsia="楷体_GB2312"/>
              </w:rPr>
            </w:pPr>
            <w:r>
              <w:rPr>
                <w:rFonts w:hint="eastAsia" w:ascii="楷体_GB2312" w:eastAsia="楷体_GB2312"/>
              </w:rPr>
              <w:t>序号</w:t>
            </w:r>
          </w:p>
        </w:tc>
        <w:tc>
          <w:tcPr>
            <w:tcW w:w="4785" w:type="dxa"/>
            <w:gridSpan w:val="4"/>
            <w:tcBorders>
              <w:top w:val="single" w:color="auto" w:sz="6"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成果说明</w:t>
            </w:r>
          </w:p>
        </w:tc>
        <w:tc>
          <w:tcPr>
            <w:tcW w:w="2895" w:type="dxa"/>
            <w:gridSpan w:val="4"/>
            <w:tcBorders>
              <w:top w:val="single" w:color="auto" w:sz="6"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本人自评打分</w:t>
            </w:r>
          </w:p>
        </w:tc>
        <w:tc>
          <w:tcPr>
            <w:tcW w:w="2555" w:type="dxa"/>
            <w:gridSpan w:val="2"/>
            <w:tcBorders>
              <w:top w:val="single" w:color="auto" w:sz="6" w:space="0"/>
              <w:left w:val="single" w:color="auto" w:sz="6" w:space="0"/>
              <w:right w:val="single" w:color="auto" w:sz="12" w:space="0"/>
            </w:tcBorders>
            <w:vAlign w:val="center"/>
          </w:tcPr>
          <w:p>
            <w:pPr>
              <w:jc w:val="center"/>
              <w:rPr>
                <w:rFonts w:ascii="楷体_GB2312" w:eastAsia="楷体_GB2312"/>
              </w:rPr>
            </w:pPr>
            <w:r>
              <w:rPr>
                <w:rFonts w:hint="eastAsia" w:ascii="楷体_GB2312" w:eastAsia="楷体_GB2312"/>
              </w:rPr>
              <w:t>学院认定打分</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1</w:t>
            </w: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2</w:t>
            </w: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3</w:t>
            </w: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4</w:t>
            </w: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675" w:type="dxa"/>
            <w:tcBorders>
              <w:top w:val="single" w:color="auto" w:sz="6" w:space="0"/>
              <w:left w:val="single" w:color="auto" w:sz="12" w:space="0"/>
              <w:right w:val="single" w:color="auto" w:sz="6" w:space="0"/>
            </w:tcBorders>
            <w:vAlign w:val="center"/>
          </w:tcPr>
          <w:p>
            <w:pPr>
              <w:rPr>
                <w:rFonts w:ascii="楷体_GB2312" w:eastAsia="楷体_GB2312"/>
              </w:rPr>
            </w:pPr>
          </w:p>
        </w:tc>
        <w:tc>
          <w:tcPr>
            <w:tcW w:w="478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895" w:type="dxa"/>
            <w:gridSpan w:val="4"/>
            <w:tcBorders>
              <w:top w:val="single" w:color="auto" w:sz="6" w:space="0"/>
              <w:left w:val="single" w:color="auto" w:sz="6" w:space="0"/>
              <w:right w:val="single" w:color="auto" w:sz="6" w:space="0"/>
            </w:tcBorders>
            <w:vAlign w:val="center"/>
          </w:tcPr>
          <w:p>
            <w:pPr>
              <w:rPr>
                <w:rFonts w:ascii="楷体_GB2312" w:eastAsia="楷体_GB2312"/>
              </w:rPr>
            </w:pPr>
          </w:p>
        </w:tc>
        <w:tc>
          <w:tcPr>
            <w:tcW w:w="2555" w:type="dxa"/>
            <w:gridSpan w:val="2"/>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5460" w:type="dxa"/>
            <w:gridSpan w:val="5"/>
            <w:tcBorders>
              <w:top w:val="single" w:color="auto" w:sz="6" w:space="0"/>
              <w:left w:val="single" w:color="auto" w:sz="12" w:space="0"/>
              <w:right w:val="single" w:color="auto" w:sz="6" w:space="0"/>
            </w:tcBorders>
            <w:vAlign w:val="center"/>
          </w:tcPr>
          <w:p>
            <w:pPr>
              <w:jc w:val="center"/>
              <w:rPr>
                <w:rFonts w:ascii="楷体_GB2312" w:eastAsia="楷体_GB2312"/>
              </w:rPr>
            </w:pPr>
            <w:r>
              <w:rPr>
                <w:rFonts w:hint="eastAsia" w:ascii="楷体_GB2312" w:eastAsia="楷体_GB2312"/>
              </w:rPr>
              <w:t>总 分（由学院认定后填写）</w:t>
            </w:r>
          </w:p>
        </w:tc>
        <w:tc>
          <w:tcPr>
            <w:tcW w:w="5450" w:type="dxa"/>
            <w:gridSpan w:val="6"/>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12" w:hRule="atLeast"/>
        </w:trPr>
        <w:tc>
          <w:tcPr>
            <w:tcW w:w="10910" w:type="dxa"/>
            <w:gridSpan w:val="11"/>
            <w:tcBorders>
              <w:top w:val="single" w:color="auto" w:sz="6" w:space="0"/>
              <w:left w:val="single" w:color="auto" w:sz="12" w:space="0"/>
              <w:bottom w:val="single" w:color="auto" w:sz="12" w:space="0"/>
              <w:right w:val="single" w:color="auto" w:sz="12" w:space="0"/>
            </w:tcBorders>
          </w:tcPr>
          <w:p>
            <w:pPr>
              <w:rPr>
                <w:rFonts w:ascii="楷体_GB2312" w:eastAsia="楷体_GB2312"/>
              </w:rPr>
            </w:pPr>
            <w:r>
              <w:rPr>
                <w:rFonts w:hint="eastAsia" w:ascii="楷体_GB2312" w:eastAsia="楷体_GB2312"/>
              </w:rPr>
              <w:t>注：1、学术论文须写清论文题目、期刊类别、期刊名称、发表时间、作者排名等。</w:t>
            </w:r>
          </w:p>
          <w:p>
            <w:pPr>
              <w:numPr>
                <w:ilvl w:val="0"/>
                <w:numId w:val="12"/>
              </w:numPr>
              <w:ind w:firstLine="420"/>
              <w:rPr>
                <w:rFonts w:ascii="楷体_GB2312" w:eastAsia="楷体_GB2312"/>
              </w:rPr>
            </w:pPr>
            <w:r>
              <w:rPr>
                <w:rFonts w:hint="eastAsia" w:ascii="楷体_GB2312" w:eastAsia="楷体_GB2312"/>
              </w:rPr>
              <w:t>知识产权须写清类别、名称、排名等。</w:t>
            </w:r>
          </w:p>
          <w:p>
            <w:pPr>
              <w:rPr>
                <w:rFonts w:ascii="楷体_GB2312" w:eastAsia="楷体_GB2312"/>
              </w:rPr>
            </w:pPr>
            <w:r>
              <w:rPr>
                <w:rFonts w:hint="eastAsia" w:ascii="楷体_GB2312" w:eastAsia="楷体_GB2312"/>
              </w:rPr>
              <w:t xml:space="preserve">    3、出版物须写清名称、时间、出版社、字数、作者排名等</w:t>
            </w:r>
            <w:r>
              <w:rPr>
                <w:rFonts w:hint="eastAsia" w:ascii="楷体_GB2312" w:eastAsia="楷体_GB2312"/>
                <w:lang w:eastAsia="zh-CN"/>
              </w:rPr>
              <w:t>。</w:t>
            </w:r>
          </w:p>
          <w:p>
            <w:pPr>
              <w:ind w:firstLine="420"/>
              <w:rPr>
                <w:rFonts w:ascii="楷体_GB2312" w:eastAsia="楷体_GB2312"/>
              </w:rPr>
            </w:pPr>
            <w:r>
              <w:rPr>
                <w:rFonts w:hint="eastAsia" w:ascii="楷体_GB2312" w:eastAsia="楷体_GB2312"/>
              </w:rPr>
              <w:t>4、竞赛须写清竞赛名称、级别、获奖时间、排名等。</w:t>
            </w:r>
          </w:p>
          <w:p>
            <w:pPr>
              <w:ind w:firstLine="420"/>
              <w:rPr>
                <w:rFonts w:hint="eastAsia" w:ascii="楷体_GB2312" w:eastAsia="楷体_GB2312"/>
              </w:rPr>
            </w:pPr>
            <w:r>
              <w:rPr>
                <w:rFonts w:hint="eastAsia" w:ascii="楷体_GB2312" w:eastAsia="楷体_GB2312"/>
              </w:rPr>
              <w:t>5、境外研学</w:t>
            </w:r>
            <w:r>
              <w:rPr>
                <w:rFonts w:hint="eastAsia" w:ascii="楷体_GB2312" w:eastAsia="楷体_GB2312"/>
                <w:lang w:eastAsia="zh-CN"/>
              </w:rPr>
              <w:t>、实习</w:t>
            </w:r>
            <w:r>
              <w:rPr>
                <w:rFonts w:hint="eastAsia" w:ascii="楷体_GB2312" w:eastAsia="楷体_GB2312"/>
              </w:rPr>
              <w:t>须写清项目名称、时间区间等。</w:t>
            </w:r>
          </w:p>
          <w:p>
            <w:pPr>
              <w:ind w:firstLine="420"/>
              <w:rPr>
                <w:rFonts w:hint="eastAsia" w:ascii="楷体_GB2312" w:eastAsia="楷体_GB2312"/>
                <w:lang w:val="en-US" w:eastAsia="zh-CN"/>
              </w:rPr>
            </w:pPr>
            <w:r>
              <w:rPr>
                <w:rFonts w:hint="eastAsia" w:ascii="楷体_GB2312" w:eastAsia="楷体_GB2312"/>
                <w:lang w:val="en-US" w:eastAsia="zh-CN"/>
              </w:rPr>
              <w:t>6、其他成果须写清相关情况。</w:t>
            </w:r>
          </w:p>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164" w:type="dxa"/>
            <w:gridSpan w:val="3"/>
            <w:tcBorders>
              <w:top w:val="single" w:color="auto" w:sz="12" w:space="0"/>
              <w:left w:val="single" w:color="auto" w:sz="12" w:space="0"/>
              <w:bottom w:val="single" w:color="auto" w:sz="12" w:space="0"/>
              <w:right w:val="single" w:color="auto" w:sz="12" w:space="0"/>
            </w:tcBorders>
            <w:vAlign w:val="center"/>
          </w:tcPr>
          <w:p>
            <w:pPr>
              <w:rPr>
                <w:rFonts w:ascii="楷体_GB2312" w:eastAsia="楷体_GB2312"/>
              </w:rPr>
            </w:pPr>
            <w:r>
              <w:rPr>
                <w:rFonts w:hint="eastAsia" w:ascii="楷体_GB2312" w:eastAsia="楷体_GB2312"/>
              </w:rPr>
              <w:t>本人保证此表如实填写</w:t>
            </w:r>
          </w:p>
          <w:p>
            <w:pPr>
              <w:rPr>
                <w:rFonts w:ascii="楷体_GB2312" w:eastAsia="楷体_GB2312"/>
              </w:rPr>
            </w:pPr>
            <w:r>
              <w:rPr>
                <w:rFonts w:hint="eastAsia" w:ascii="楷体_GB2312" w:eastAsia="楷体_GB2312"/>
              </w:rPr>
              <w:t>学生（签名）：</w:t>
            </w:r>
          </w:p>
          <w:p>
            <w:pPr>
              <w:jc w:val="right"/>
              <w:rPr>
                <w:rFonts w:ascii="楷体_GB2312" w:eastAsia="楷体_GB2312"/>
                <w:sz w:val="18"/>
              </w:rPr>
            </w:pPr>
            <w:r>
              <w:rPr>
                <w:rFonts w:hint="eastAsia" w:ascii="楷体_GB2312" w:eastAsia="楷体_GB2312"/>
                <w:sz w:val="18"/>
              </w:rPr>
              <w:t>年   月   日</w:t>
            </w:r>
          </w:p>
        </w:tc>
        <w:tc>
          <w:tcPr>
            <w:tcW w:w="3477" w:type="dxa"/>
            <w:gridSpan w:val="4"/>
            <w:tcBorders>
              <w:top w:val="single" w:color="auto" w:sz="12" w:space="0"/>
              <w:left w:val="single" w:color="auto" w:sz="12" w:space="0"/>
              <w:bottom w:val="single" w:color="auto" w:sz="12" w:space="0"/>
              <w:right w:val="single" w:color="auto" w:sz="12" w:space="0"/>
            </w:tcBorders>
            <w:vAlign w:val="center"/>
          </w:tcPr>
          <w:p>
            <w:pPr>
              <w:rPr>
                <w:rFonts w:ascii="楷体_GB2312" w:eastAsia="楷体_GB2312"/>
              </w:rPr>
            </w:pPr>
            <w:r>
              <w:rPr>
                <w:rFonts w:hint="eastAsia" w:ascii="楷体_GB2312" w:eastAsia="楷体_GB2312"/>
              </w:rPr>
              <w:t xml:space="preserve">该生材料已审阅，以上情况属实             </w:t>
            </w:r>
          </w:p>
          <w:p>
            <w:pPr>
              <w:rPr>
                <w:rFonts w:ascii="楷体_GB2312" w:eastAsia="楷体_GB2312"/>
              </w:rPr>
            </w:pPr>
            <w:r>
              <w:rPr>
                <w:rFonts w:hint="eastAsia" w:ascii="楷体_GB2312" w:eastAsia="楷体_GB2312"/>
              </w:rPr>
              <w:t>导师（签名）：</w:t>
            </w:r>
          </w:p>
          <w:p>
            <w:pPr>
              <w:jc w:val="right"/>
              <w:rPr>
                <w:rFonts w:ascii="楷体_GB2312" w:eastAsia="楷体_GB2312"/>
              </w:rPr>
            </w:pPr>
            <w:r>
              <w:rPr>
                <w:rFonts w:hint="eastAsia" w:ascii="楷体_GB2312" w:eastAsia="楷体_GB2312"/>
                <w:sz w:val="18"/>
              </w:rPr>
              <w:t>年   月   日</w:t>
            </w:r>
          </w:p>
        </w:tc>
        <w:tc>
          <w:tcPr>
            <w:tcW w:w="4269" w:type="dxa"/>
            <w:gridSpan w:val="4"/>
            <w:tcBorders>
              <w:top w:val="single" w:color="auto" w:sz="12" w:space="0"/>
              <w:left w:val="single" w:color="auto" w:sz="12" w:space="0"/>
              <w:bottom w:val="single" w:color="auto" w:sz="12" w:space="0"/>
              <w:right w:val="single" w:color="auto" w:sz="12" w:space="0"/>
            </w:tcBorders>
            <w:vAlign w:val="center"/>
          </w:tcPr>
          <w:p>
            <w:pPr>
              <w:jc w:val="left"/>
              <w:rPr>
                <w:rFonts w:ascii="楷体_GB2312" w:eastAsia="楷体_GB2312"/>
              </w:rPr>
            </w:pPr>
            <w:r>
              <w:rPr>
                <w:rFonts w:hint="eastAsia" w:ascii="楷体_GB2312" w:eastAsia="楷体_GB2312"/>
              </w:rPr>
              <w:t xml:space="preserve">学院审核盖章 </w:t>
            </w:r>
          </w:p>
          <w:p>
            <w:pPr>
              <w:jc w:val="center"/>
              <w:rPr>
                <w:rFonts w:ascii="楷体_GB2312" w:eastAsia="楷体_GB2312"/>
              </w:rPr>
            </w:pPr>
          </w:p>
          <w:p>
            <w:pPr>
              <w:jc w:val="right"/>
              <w:rPr>
                <w:rFonts w:ascii="楷体_GB2312" w:eastAsia="楷体_GB2312"/>
              </w:rPr>
            </w:pPr>
            <w:r>
              <w:rPr>
                <w:rFonts w:hint="eastAsia" w:ascii="楷体_GB2312" w:eastAsia="楷体_GB2312"/>
                <w:sz w:val="18"/>
              </w:rPr>
              <w:t>年   月   日</w:t>
            </w:r>
          </w:p>
        </w:tc>
      </w:tr>
    </w:tbl>
    <w:p>
      <w:pPr>
        <w:jc w:val="center"/>
        <w:rPr>
          <w:rFonts w:eastAsia="黑体"/>
          <w:b/>
          <w:bCs/>
          <w:spacing w:val="30"/>
          <w:sz w:val="32"/>
        </w:rPr>
      </w:pPr>
      <w:r>
        <w:rPr>
          <w:rFonts w:hint="eastAsia" w:eastAsia="黑体"/>
          <w:b/>
          <w:bCs/>
          <w:spacing w:val="30"/>
          <w:sz w:val="32"/>
        </w:rPr>
        <w:t>上海海事大学研究生学位授予成果考核申请表</w:t>
      </w:r>
    </w:p>
    <w:p>
      <w:pPr>
        <w:rPr>
          <w:rFonts w:eastAsia="黑体"/>
          <w:b/>
          <w:bCs/>
          <w:spacing w:val="30"/>
          <w:sz w:val="32"/>
        </w:rPr>
      </w:pPr>
    </w:p>
    <w:p>
      <w:pPr>
        <w:spacing w:line="440" w:lineRule="exact"/>
        <w:rPr>
          <w:sz w:val="24"/>
        </w:rPr>
      </w:pPr>
    </w:p>
    <w:p>
      <w:pPr>
        <w:spacing w:line="440" w:lineRule="exact"/>
        <w:rPr>
          <w:sz w:val="24"/>
        </w:rPr>
      </w:pPr>
      <w:r>
        <w:rPr>
          <w:rFonts w:hint="eastAsia"/>
          <w:sz w:val="24"/>
        </w:rPr>
        <w:t>附件二：</w:t>
      </w:r>
    </w:p>
    <w:tbl>
      <w:tblPr>
        <w:tblStyle w:val="9"/>
        <w:tblpPr w:leftFromText="180" w:rightFromText="180" w:vertAnchor="text" w:horzAnchor="page" w:tblpX="613" w:tblpY="655"/>
        <w:tblOverlap w:val="never"/>
        <w:tblW w:w="10905" w:type="dxa"/>
        <w:tblInd w:w="0" w:type="dxa"/>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90"/>
        <w:gridCol w:w="1066"/>
        <w:gridCol w:w="1271"/>
        <w:gridCol w:w="1492"/>
        <w:gridCol w:w="3750"/>
        <w:gridCol w:w="1091"/>
        <w:gridCol w:w="765"/>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2" w:hRule="atLeast"/>
        </w:trPr>
        <w:tc>
          <w:tcPr>
            <w:tcW w:w="480" w:type="dxa"/>
            <w:tcBorders>
              <w:top w:val="single" w:color="auto" w:sz="12" w:space="0"/>
              <w:left w:val="single" w:color="auto" w:sz="12" w:space="0"/>
              <w:right w:val="single" w:color="auto" w:sz="6" w:space="0"/>
            </w:tcBorders>
            <w:vAlign w:val="center"/>
          </w:tcPr>
          <w:p>
            <w:pPr>
              <w:jc w:val="center"/>
              <w:rPr>
                <w:rFonts w:ascii="楷体_GB2312" w:eastAsia="楷体_GB2312"/>
              </w:rPr>
            </w:pPr>
            <w:r>
              <w:rPr>
                <w:rFonts w:hint="eastAsia" w:ascii="楷体_GB2312" w:eastAsia="楷体_GB2312"/>
              </w:rPr>
              <w:t>序号</w:t>
            </w:r>
          </w:p>
        </w:tc>
        <w:tc>
          <w:tcPr>
            <w:tcW w:w="990" w:type="dxa"/>
            <w:tcBorders>
              <w:top w:val="single" w:color="auto" w:sz="12"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姓名</w:t>
            </w:r>
          </w:p>
        </w:tc>
        <w:tc>
          <w:tcPr>
            <w:tcW w:w="1066" w:type="dxa"/>
            <w:tcBorders>
              <w:top w:val="single" w:color="auto" w:sz="12" w:space="0"/>
              <w:left w:val="single" w:color="auto" w:sz="6" w:space="0"/>
              <w:right w:val="single" w:color="auto" w:sz="6" w:space="0"/>
            </w:tcBorders>
            <w:vAlign w:val="center"/>
          </w:tcPr>
          <w:p>
            <w:pPr>
              <w:jc w:val="center"/>
              <w:rPr>
                <w:rFonts w:hint="eastAsia" w:ascii="楷体_GB2312" w:eastAsia="楷体_GB2312"/>
                <w:lang w:eastAsia="zh-CN"/>
              </w:rPr>
            </w:pPr>
            <w:r>
              <w:rPr>
                <w:rFonts w:hint="eastAsia" w:ascii="楷体_GB2312" w:eastAsia="楷体_GB2312"/>
                <w:lang w:eastAsia="zh-CN"/>
              </w:rPr>
              <w:t>学号</w:t>
            </w:r>
          </w:p>
        </w:tc>
        <w:tc>
          <w:tcPr>
            <w:tcW w:w="1271" w:type="dxa"/>
            <w:tcBorders>
              <w:top w:val="single" w:color="auto" w:sz="12"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专业</w:t>
            </w:r>
          </w:p>
        </w:tc>
        <w:tc>
          <w:tcPr>
            <w:tcW w:w="1492" w:type="dxa"/>
            <w:tcBorders>
              <w:top w:val="single" w:color="auto" w:sz="12" w:space="0"/>
              <w:left w:val="single" w:color="auto" w:sz="6" w:space="0"/>
              <w:right w:val="single" w:color="auto" w:sz="6" w:space="0"/>
            </w:tcBorders>
            <w:vAlign w:val="center"/>
          </w:tcPr>
          <w:p>
            <w:pPr>
              <w:jc w:val="center"/>
              <w:rPr>
                <w:rFonts w:hint="eastAsia" w:ascii="楷体_GB2312" w:eastAsia="楷体_GB2312"/>
              </w:rPr>
            </w:pPr>
            <w:r>
              <w:rPr>
                <w:rFonts w:hint="eastAsia" w:ascii="楷体_GB2312" w:eastAsia="楷体_GB2312"/>
              </w:rPr>
              <w:t>申请学位类别</w:t>
            </w:r>
          </w:p>
        </w:tc>
        <w:tc>
          <w:tcPr>
            <w:tcW w:w="3750" w:type="dxa"/>
            <w:tcBorders>
              <w:top w:val="single" w:color="auto" w:sz="12"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成果说明</w:t>
            </w:r>
          </w:p>
        </w:tc>
        <w:tc>
          <w:tcPr>
            <w:tcW w:w="1091" w:type="dxa"/>
            <w:tcBorders>
              <w:top w:val="single" w:color="auto" w:sz="12" w:space="0"/>
              <w:left w:val="single" w:color="auto" w:sz="6" w:space="0"/>
              <w:right w:val="single" w:color="auto" w:sz="6" w:space="0"/>
            </w:tcBorders>
            <w:vAlign w:val="center"/>
          </w:tcPr>
          <w:p>
            <w:pPr>
              <w:jc w:val="center"/>
              <w:rPr>
                <w:rFonts w:ascii="楷体_GB2312" w:eastAsia="楷体_GB2312"/>
              </w:rPr>
            </w:pPr>
            <w:r>
              <w:rPr>
                <w:rFonts w:hint="eastAsia" w:ascii="楷体_GB2312" w:eastAsia="楷体_GB2312"/>
              </w:rPr>
              <w:t>学院认定打分</w:t>
            </w:r>
          </w:p>
        </w:tc>
        <w:tc>
          <w:tcPr>
            <w:tcW w:w="765" w:type="dxa"/>
            <w:tcBorders>
              <w:top w:val="single" w:color="auto" w:sz="12" w:space="0"/>
              <w:left w:val="single" w:color="auto" w:sz="6" w:space="0"/>
              <w:right w:val="single" w:color="auto" w:sz="12" w:space="0"/>
            </w:tcBorders>
            <w:vAlign w:val="center"/>
          </w:tcPr>
          <w:p>
            <w:pPr>
              <w:jc w:val="center"/>
              <w:rPr>
                <w:rFonts w:ascii="楷体_GB2312" w:eastAsia="楷体_GB2312"/>
              </w:rPr>
            </w:pPr>
            <w:r>
              <w:rPr>
                <w:rFonts w:hint="eastAsia" w:ascii="楷体_GB2312" w:eastAsia="楷体_GB2312"/>
              </w:rPr>
              <w:t>是否通过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restart"/>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1</w:t>
            </w:r>
          </w:p>
        </w:tc>
        <w:tc>
          <w:tcPr>
            <w:tcW w:w="990"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066"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27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492"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765" w:type="dxa"/>
            <w:vMerge w:val="restart"/>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restart"/>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2</w:t>
            </w:r>
          </w:p>
        </w:tc>
        <w:tc>
          <w:tcPr>
            <w:tcW w:w="990"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066"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27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492"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765" w:type="dxa"/>
            <w:vMerge w:val="restart"/>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restart"/>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3</w:t>
            </w:r>
          </w:p>
        </w:tc>
        <w:tc>
          <w:tcPr>
            <w:tcW w:w="990"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066"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27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492"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765" w:type="dxa"/>
            <w:vMerge w:val="restart"/>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restart"/>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4</w:t>
            </w:r>
          </w:p>
        </w:tc>
        <w:tc>
          <w:tcPr>
            <w:tcW w:w="990"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066"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27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492"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765" w:type="dxa"/>
            <w:vMerge w:val="restart"/>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restart"/>
            <w:tcBorders>
              <w:top w:val="single" w:color="auto" w:sz="6" w:space="0"/>
              <w:left w:val="single" w:color="auto" w:sz="12" w:space="0"/>
              <w:right w:val="single" w:color="auto" w:sz="6" w:space="0"/>
            </w:tcBorders>
            <w:vAlign w:val="center"/>
          </w:tcPr>
          <w:p>
            <w:pPr>
              <w:rPr>
                <w:rFonts w:ascii="楷体_GB2312" w:eastAsia="楷体_GB2312"/>
              </w:rPr>
            </w:pPr>
            <w:r>
              <w:rPr>
                <w:rFonts w:hint="eastAsia" w:ascii="楷体_GB2312" w:eastAsia="楷体_GB2312"/>
              </w:rPr>
              <w:t>5</w:t>
            </w:r>
          </w:p>
        </w:tc>
        <w:tc>
          <w:tcPr>
            <w:tcW w:w="990"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066"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27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1492"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restart"/>
            <w:tcBorders>
              <w:top w:val="single" w:color="auto" w:sz="6" w:space="0"/>
              <w:left w:val="single" w:color="auto" w:sz="6" w:space="0"/>
              <w:right w:val="single" w:color="auto" w:sz="6" w:space="0"/>
            </w:tcBorders>
            <w:vAlign w:val="center"/>
          </w:tcPr>
          <w:p>
            <w:pPr>
              <w:rPr>
                <w:rFonts w:ascii="楷体_GB2312" w:eastAsia="楷体_GB2312"/>
              </w:rPr>
            </w:pPr>
          </w:p>
        </w:tc>
        <w:tc>
          <w:tcPr>
            <w:tcW w:w="765" w:type="dxa"/>
            <w:vMerge w:val="restart"/>
            <w:tcBorders>
              <w:top w:val="single" w:color="auto" w:sz="6" w:space="0"/>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80" w:type="dxa"/>
            <w:vMerge w:val="continue"/>
            <w:tcBorders>
              <w:left w:val="single" w:color="auto" w:sz="12" w:space="0"/>
              <w:right w:val="single" w:color="auto" w:sz="6" w:space="0"/>
            </w:tcBorders>
            <w:vAlign w:val="center"/>
          </w:tcPr>
          <w:p>
            <w:pPr>
              <w:rPr>
                <w:rFonts w:ascii="楷体_GB2312" w:eastAsia="楷体_GB2312"/>
              </w:rPr>
            </w:pPr>
          </w:p>
        </w:tc>
        <w:tc>
          <w:tcPr>
            <w:tcW w:w="990" w:type="dxa"/>
            <w:vMerge w:val="continue"/>
            <w:tcBorders>
              <w:left w:val="single" w:color="auto" w:sz="6" w:space="0"/>
              <w:right w:val="single" w:color="auto" w:sz="6" w:space="0"/>
            </w:tcBorders>
            <w:vAlign w:val="center"/>
          </w:tcPr>
          <w:p>
            <w:pPr>
              <w:rPr>
                <w:rFonts w:ascii="楷体_GB2312" w:eastAsia="楷体_GB2312"/>
              </w:rPr>
            </w:pPr>
          </w:p>
        </w:tc>
        <w:tc>
          <w:tcPr>
            <w:tcW w:w="1066" w:type="dxa"/>
            <w:vMerge w:val="continue"/>
            <w:tcBorders>
              <w:left w:val="single" w:color="auto" w:sz="6" w:space="0"/>
              <w:right w:val="single" w:color="auto" w:sz="6" w:space="0"/>
            </w:tcBorders>
            <w:vAlign w:val="center"/>
          </w:tcPr>
          <w:p>
            <w:pPr>
              <w:rPr>
                <w:rFonts w:ascii="楷体_GB2312" w:eastAsia="楷体_GB2312"/>
              </w:rPr>
            </w:pPr>
          </w:p>
        </w:tc>
        <w:tc>
          <w:tcPr>
            <w:tcW w:w="1271" w:type="dxa"/>
            <w:vMerge w:val="continue"/>
            <w:tcBorders>
              <w:left w:val="single" w:color="auto" w:sz="6" w:space="0"/>
              <w:right w:val="single" w:color="auto" w:sz="6" w:space="0"/>
            </w:tcBorders>
            <w:vAlign w:val="center"/>
          </w:tcPr>
          <w:p>
            <w:pPr>
              <w:rPr>
                <w:rFonts w:ascii="楷体_GB2312" w:eastAsia="楷体_GB2312"/>
              </w:rPr>
            </w:pPr>
          </w:p>
        </w:tc>
        <w:tc>
          <w:tcPr>
            <w:tcW w:w="1492" w:type="dxa"/>
            <w:vMerge w:val="continue"/>
            <w:tcBorders>
              <w:left w:val="single" w:color="auto" w:sz="6" w:space="0"/>
              <w:right w:val="single" w:color="auto" w:sz="6" w:space="0"/>
            </w:tcBorders>
            <w:vAlign w:val="center"/>
          </w:tcPr>
          <w:p>
            <w:pPr>
              <w:rPr>
                <w:rFonts w:ascii="楷体_GB2312" w:eastAsia="楷体_GB2312"/>
              </w:rPr>
            </w:pPr>
          </w:p>
        </w:tc>
        <w:tc>
          <w:tcPr>
            <w:tcW w:w="3750" w:type="dxa"/>
            <w:tcBorders>
              <w:top w:val="single" w:color="auto" w:sz="6" w:space="0"/>
              <w:left w:val="single" w:color="auto" w:sz="6" w:space="0"/>
              <w:right w:val="single" w:color="auto" w:sz="6" w:space="0"/>
            </w:tcBorders>
            <w:vAlign w:val="center"/>
          </w:tcPr>
          <w:p>
            <w:pPr>
              <w:rPr>
                <w:rFonts w:ascii="楷体_GB2312" w:eastAsia="楷体_GB2312"/>
              </w:rPr>
            </w:pPr>
          </w:p>
        </w:tc>
        <w:tc>
          <w:tcPr>
            <w:tcW w:w="1091" w:type="dxa"/>
            <w:vMerge w:val="continue"/>
            <w:tcBorders>
              <w:left w:val="single" w:color="auto" w:sz="6" w:space="0"/>
              <w:right w:val="single" w:color="auto" w:sz="6" w:space="0"/>
            </w:tcBorders>
            <w:vAlign w:val="center"/>
          </w:tcPr>
          <w:p>
            <w:pPr>
              <w:rPr>
                <w:rFonts w:ascii="楷体_GB2312" w:eastAsia="楷体_GB2312"/>
              </w:rPr>
            </w:pPr>
          </w:p>
        </w:tc>
        <w:tc>
          <w:tcPr>
            <w:tcW w:w="765" w:type="dxa"/>
            <w:vMerge w:val="continue"/>
            <w:tcBorders>
              <w:left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8" w:hRule="atLeast"/>
        </w:trPr>
        <w:tc>
          <w:tcPr>
            <w:tcW w:w="10905" w:type="dxa"/>
            <w:gridSpan w:val="8"/>
            <w:tcBorders>
              <w:top w:val="single" w:color="auto" w:sz="12" w:space="0"/>
              <w:left w:val="single" w:color="auto" w:sz="12" w:space="0"/>
              <w:bottom w:val="single" w:color="auto" w:sz="12" w:space="0"/>
              <w:right w:val="single" w:color="auto" w:sz="12" w:space="0"/>
            </w:tcBorders>
            <w:vAlign w:val="center"/>
          </w:tcPr>
          <w:p>
            <w:pPr>
              <w:jc w:val="left"/>
              <w:rPr>
                <w:rFonts w:ascii="楷体_GB2312" w:eastAsia="楷体_GB2312"/>
              </w:rPr>
            </w:pPr>
          </w:p>
          <w:p>
            <w:pPr>
              <w:jc w:val="left"/>
              <w:rPr>
                <w:rFonts w:ascii="楷体_GB2312" w:eastAsia="楷体_GB2312"/>
              </w:rPr>
            </w:pPr>
            <w:r>
              <w:rPr>
                <w:rFonts w:hint="eastAsia" w:ascii="楷体_GB2312" w:eastAsia="楷体_GB2312"/>
              </w:rPr>
              <w:t>学院盖章：</w:t>
            </w:r>
          </w:p>
          <w:p>
            <w:pPr>
              <w:jc w:val="left"/>
              <w:rPr>
                <w:rFonts w:ascii="楷体_GB2312" w:eastAsia="楷体_GB2312"/>
              </w:rPr>
            </w:pPr>
          </w:p>
          <w:p>
            <w:pPr>
              <w:jc w:val="left"/>
              <w:rPr>
                <w:rFonts w:ascii="楷体_GB2312" w:eastAsia="楷体_GB2312"/>
              </w:rPr>
            </w:pPr>
            <w:r>
              <w:rPr>
                <w:rFonts w:hint="eastAsia" w:ascii="楷体_GB2312" w:eastAsia="楷体_GB2312"/>
              </w:rPr>
              <w:t xml:space="preserve">公示时间：                </w:t>
            </w:r>
            <w:r>
              <w:rPr>
                <w:rFonts w:hint="eastAsia" w:ascii="楷体_GB2312" w:eastAsia="楷体_GB2312"/>
                <w:sz w:val="18"/>
              </w:rPr>
              <w:t>年      月      日</w:t>
            </w:r>
          </w:p>
        </w:tc>
      </w:tr>
    </w:tbl>
    <w:p>
      <w:pPr>
        <w:spacing w:line="440" w:lineRule="exact"/>
        <w:rPr>
          <w:rFonts w:eastAsia="黑体"/>
          <w:b/>
          <w:bCs/>
          <w:spacing w:val="30"/>
          <w:sz w:val="32"/>
        </w:rPr>
      </w:pPr>
      <w:r>
        <w:rPr>
          <w:rFonts w:hint="eastAsia" w:eastAsia="黑体"/>
          <w:b/>
          <w:bCs/>
          <w:spacing w:val="30"/>
          <w:sz w:val="32"/>
        </w:rPr>
        <w:t>（       ）学院研究生学位授予成果考核公示表</w:t>
      </w:r>
    </w:p>
    <w:p>
      <w:pPr>
        <w:tabs>
          <w:tab w:val="left" w:pos="1110"/>
        </w:tabs>
        <w:jc w:val="left"/>
        <w:rPr>
          <w:rFonts w:eastAsia="黑体"/>
          <w:b/>
          <w:bCs/>
          <w:spacing w:val="30"/>
          <w:sz w:val="32"/>
        </w:rPr>
      </w:pPr>
      <w:r>
        <w:rPr>
          <w:rFonts w:hint="eastAsia" w:eastAsia="黑体"/>
          <w:b/>
          <w:bCs/>
          <w:spacing w:val="30"/>
          <w:sz w:val="32"/>
        </w:rPr>
        <w:tab/>
      </w:r>
      <w:r>
        <w:rPr>
          <w:rFonts w:hint="eastAsia" w:eastAsia="黑体"/>
          <w:b/>
          <w:bCs/>
          <w:spacing w:val="30"/>
          <w:sz w:val="32"/>
        </w:rPr>
        <w:br w:type="page"/>
      </w:r>
    </w:p>
    <w:p>
      <w:pPr>
        <w:spacing w:line="440" w:lineRule="exact"/>
        <w:rPr>
          <w:sz w:val="24"/>
        </w:rPr>
      </w:pPr>
      <w:r>
        <w:rPr>
          <w:rFonts w:hint="eastAsia"/>
          <w:sz w:val="24"/>
        </w:rPr>
        <w:t>附件三：</w:t>
      </w:r>
    </w:p>
    <w:p>
      <w:pPr>
        <w:tabs>
          <w:tab w:val="left" w:pos="1110"/>
        </w:tabs>
        <w:jc w:val="left"/>
        <w:rPr>
          <w:rFonts w:hint="eastAsia" w:eastAsia="黑体"/>
          <w:b/>
          <w:bCs/>
          <w:spacing w:val="30"/>
          <w:sz w:val="32"/>
        </w:rPr>
      </w:pPr>
      <w:r>
        <w:rPr>
          <w:rFonts w:hint="eastAsia" w:eastAsia="黑体"/>
          <w:b/>
          <w:bCs/>
          <w:spacing w:val="30"/>
          <w:sz w:val="32"/>
        </w:rPr>
        <w:t>附录和常见问题</w:t>
      </w:r>
    </w:p>
    <w:p>
      <w:pPr>
        <w:tabs>
          <w:tab w:val="left" w:pos="1110"/>
        </w:tabs>
        <w:jc w:val="left"/>
        <w:rPr>
          <w:rFonts w:eastAsia="黑体"/>
          <w:b/>
          <w:bCs/>
          <w:spacing w:val="30"/>
          <w:sz w:val="32"/>
        </w:rPr>
      </w:pPr>
    </w:p>
    <w:p>
      <w:pPr>
        <w:numPr>
          <w:ilvl w:val="0"/>
          <w:numId w:val="13"/>
        </w:numPr>
        <w:spacing w:line="440" w:lineRule="exact"/>
        <w:rPr>
          <w:sz w:val="24"/>
        </w:rPr>
      </w:pPr>
      <w:r>
        <w:rPr>
          <w:rFonts w:hint="eastAsia"/>
          <w:sz w:val="24"/>
        </w:rPr>
        <w:t>SCI和SSCI分区认定，参照中国科学技术信息研究所每年发布的SCI和SSCI期刊分区目录，按一区、二区、三区和四区论文共四类进行认定。每届学生的论文分区认定以入学当年最新版的分区目录为准。</w:t>
      </w:r>
    </w:p>
    <w:p>
      <w:pPr>
        <w:numPr>
          <w:ilvl w:val="0"/>
          <w:numId w:val="13"/>
        </w:numPr>
        <w:spacing w:line="440" w:lineRule="exact"/>
        <w:rPr>
          <w:sz w:val="24"/>
        </w:rPr>
      </w:pPr>
      <w:r>
        <w:rPr>
          <w:rFonts w:hint="eastAsia"/>
          <w:sz w:val="24"/>
        </w:rPr>
        <w:t>被SCI检索收录的文献类型为article、review、letter以及editorial material的论文是期刊论文，文献类型为proceedings article的论文是会议论文；被EI检索收录的文献类型为journal article（JA）的论文是期刊论文，文献类型为conference article（CA）的论文是会议论文；被CPCI-S（原ISTP）检索收录和CPCI-SSH（原ISSHP）检索收录的论文均为会议论文。</w:t>
      </w:r>
    </w:p>
    <w:p>
      <w:pPr>
        <w:numPr>
          <w:ilvl w:val="0"/>
          <w:numId w:val="13"/>
        </w:numPr>
        <w:spacing w:line="440" w:lineRule="exact"/>
        <w:rPr>
          <w:sz w:val="24"/>
        </w:rPr>
      </w:pPr>
      <w:r>
        <w:rPr>
          <w:rFonts w:hint="eastAsia"/>
          <w:sz w:val="24"/>
        </w:rPr>
        <w:t>C类期刊中的中文权威期刊，参照《中国科学引文数据库》的核心库目录和《中国社会科学引文索引》（CSSCI）来源期刊目录。每届学生的C刊论文认定以入学当年最新版的期刊目录为准。</w:t>
      </w:r>
    </w:p>
    <w:p>
      <w:pPr>
        <w:numPr>
          <w:ilvl w:val="0"/>
          <w:numId w:val="13"/>
        </w:numPr>
        <w:spacing w:line="440" w:lineRule="exact"/>
        <w:rPr>
          <w:sz w:val="24"/>
        </w:rPr>
      </w:pPr>
      <w:r>
        <w:rPr>
          <w:rFonts w:hint="eastAsia"/>
          <w:sz w:val="24"/>
        </w:rPr>
        <w:t>《人民日报》理论版、《文汇报》理论版、《解放日报》理论版、《光明日报》理论周刊头版上发表的理论文章要求字数不少于2000字，不包括书评和会议综述。</w:t>
      </w:r>
    </w:p>
    <w:p>
      <w:pPr>
        <w:numPr>
          <w:ilvl w:val="0"/>
          <w:numId w:val="13"/>
        </w:numPr>
        <w:spacing w:line="440" w:lineRule="exact"/>
        <w:rPr>
          <w:sz w:val="24"/>
        </w:rPr>
      </w:pPr>
      <w:r>
        <w:rPr>
          <w:rFonts w:hint="eastAsia"/>
          <w:sz w:val="24"/>
        </w:rPr>
        <w:t>每届学生的E刊论文认定以入学当年最新版的《中文核心期刊要目总览》为准。</w:t>
      </w:r>
    </w:p>
    <w:p>
      <w:pPr>
        <w:numPr>
          <w:ilvl w:val="0"/>
          <w:numId w:val="13"/>
        </w:numPr>
        <w:spacing w:line="440" w:lineRule="exact"/>
        <w:rPr>
          <w:sz w:val="24"/>
        </w:rPr>
      </w:pPr>
      <w:r>
        <w:rPr>
          <w:rFonts w:hint="eastAsia"/>
          <w:sz w:val="24"/>
        </w:rPr>
        <w:t>教育部学位与研究生教育发展中心认定的“全国研究生创新实践系列活动”主题赛事查询网址：</w:t>
      </w:r>
      <w:r>
        <w:fldChar w:fldCharType="begin"/>
      </w:r>
      <w:r>
        <w:instrText xml:space="preserve"> HYPERLINK "http://zycx.chinadegrees.cn/" </w:instrText>
      </w:r>
      <w:r>
        <w:fldChar w:fldCharType="separate"/>
      </w:r>
      <w:r>
        <w:rPr>
          <w:rStyle w:val="8"/>
          <w:rFonts w:hint="eastAsia"/>
          <w:sz w:val="24"/>
        </w:rPr>
        <w:t>http://zycx.chinadegrees.cn/</w:t>
      </w:r>
      <w:r>
        <w:rPr>
          <w:rStyle w:val="8"/>
          <w:rFonts w:hint="eastAsia"/>
          <w:sz w:val="24"/>
        </w:rPr>
        <w:fldChar w:fldCharType="end"/>
      </w:r>
      <w:r>
        <w:rPr>
          <w:rFonts w:hint="eastAsia"/>
          <w:sz w:val="24"/>
        </w:rPr>
        <w:t xml:space="preserve"> </w:t>
      </w:r>
    </w:p>
    <w:p>
      <w:pPr>
        <w:numPr>
          <w:ilvl w:val="0"/>
          <w:numId w:val="13"/>
        </w:numPr>
        <w:spacing w:line="440" w:lineRule="exact"/>
        <w:rPr>
          <w:sz w:val="24"/>
        </w:rPr>
      </w:pPr>
      <w:r>
        <w:rPr>
          <w:rFonts w:hint="eastAsia"/>
          <w:sz w:val="24"/>
          <w:lang w:eastAsia="zh-CN"/>
        </w:rPr>
        <w:t>研究生取得的学术成果应与学位论文主要内容有相关性。</w:t>
      </w:r>
    </w:p>
    <w:p>
      <w:pPr>
        <w:spacing w:line="440" w:lineRule="exact"/>
        <w:rPr>
          <w:sz w:val="24"/>
        </w:rPr>
      </w:pPr>
    </w:p>
    <w:sectPr>
      <w:pgSz w:w="11906" w:h="16838"/>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AB0D"/>
    <w:multiLevelType w:val="singleLevel"/>
    <w:tmpl w:val="586DAB0D"/>
    <w:lvl w:ilvl="0" w:tentative="0">
      <w:start w:val="1"/>
      <w:numFmt w:val="chineseCounting"/>
      <w:suff w:val="nothing"/>
      <w:lvlText w:val="%1、"/>
      <w:lvlJc w:val="left"/>
    </w:lvl>
  </w:abstractNum>
  <w:abstractNum w:abstractNumId="1">
    <w:nsid w:val="586DD17D"/>
    <w:multiLevelType w:val="singleLevel"/>
    <w:tmpl w:val="586DD17D"/>
    <w:lvl w:ilvl="0" w:tentative="0">
      <w:start w:val="1"/>
      <w:numFmt w:val="decimal"/>
      <w:suff w:val="nothing"/>
      <w:lvlText w:val="%1、"/>
      <w:lvlJc w:val="left"/>
    </w:lvl>
  </w:abstractNum>
  <w:abstractNum w:abstractNumId="2">
    <w:nsid w:val="586DDBDB"/>
    <w:multiLevelType w:val="singleLevel"/>
    <w:tmpl w:val="586DDBDB"/>
    <w:lvl w:ilvl="0" w:tentative="0">
      <w:start w:val="2"/>
      <w:numFmt w:val="chineseCounting"/>
      <w:suff w:val="nothing"/>
      <w:lvlText w:val="（%1）"/>
      <w:lvlJc w:val="left"/>
    </w:lvl>
  </w:abstractNum>
  <w:abstractNum w:abstractNumId="3">
    <w:nsid w:val="586DE998"/>
    <w:multiLevelType w:val="singleLevel"/>
    <w:tmpl w:val="586DE998"/>
    <w:lvl w:ilvl="0" w:tentative="0">
      <w:start w:val="1"/>
      <w:numFmt w:val="decimal"/>
      <w:suff w:val="nothing"/>
      <w:lvlText w:val="%1、"/>
      <w:lvlJc w:val="left"/>
    </w:lvl>
  </w:abstractNum>
  <w:abstractNum w:abstractNumId="4">
    <w:nsid w:val="586DFF25"/>
    <w:multiLevelType w:val="singleLevel"/>
    <w:tmpl w:val="586DFF25"/>
    <w:lvl w:ilvl="0" w:tentative="0">
      <w:start w:val="1"/>
      <w:numFmt w:val="decimal"/>
      <w:suff w:val="nothing"/>
      <w:lvlText w:val="%1、"/>
      <w:lvlJc w:val="left"/>
    </w:lvl>
  </w:abstractNum>
  <w:abstractNum w:abstractNumId="5">
    <w:nsid w:val="58A93136"/>
    <w:multiLevelType w:val="singleLevel"/>
    <w:tmpl w:val="58A93136"/>
    <w:lvl w:ilvl="0" w:tentative="0">
      <w:start w:val="1"/>
      <w:numFmt w:val="chineseCounting"/>
      <w:suff w:val="nothing"/>
      <w:lvlText w:val="（%1）"/>
      <w:lvlJc w:val="left"/>
    </w:lvl>
  </w:abstractNum>
  <w:abstractNum w:abstractNumId="6">
    <w:nsid w:val="58BA4B81"/>
    <w:multiLevelType w:val="singleLevel"/>
    <w:tmpl w:val="58BA4B81"/>
    <w:lvl w:ilvl="0" w:tentative="0">
      <w:start w:val="1"/>
      <w:numFmt w:val="chineseCounting"/>
      <w:suff w:val="nothing"/>
      <w:lvlText w:val="（%1）"/>
      <w:lvlJc w:val="left"/>
    </w:lvl>
  </w:abstractNum>
  <w:abstractNum w:abstractNumId="7">
    <w:nsid w:val="58BD048E"/>
    <w:multiLevelType w:val="singleLevel"/>
    <w:tmpl w:val="58BD048E"/>
    <w:lvl w:ilvl="0" w:tentative="0">
      <w:start w:val="1"/>
      <w:numFmt w:val="decimal"/>
      <w:suff w:val="nothing"/>
      <w:lvlText w:val="%1、"/>
      <w:lvlJc w:val="left"/>
    </w:lvl>
  </w:abstractNum>
  <w:abstractNum w:abstractNumId="8">
    <w:nsid w:val="58C0C619"/>
    <w:multiLevelType w:val="singleLevel"/>
    <w:tmpl w:val="58C0C619"/>
    <w:lvl w:ilvl="0" w:tentative="0">
      <w:start w:val="2"/>
      <w:numFmt w:val="decimal"/>
      <w:suff w:val="nothing"/>
      <w:lvlText w:val="%1、"/>
      <w:lvlJc w:val="left"/>
    </w:lvl>
  </w:abstractNum>
  <w:abstractNum w:abstractNumId="9">
    <w:nsid w:val="58C8EE9F"/>
    <w:multiLevelType w:val="singleLevel"/>
    <w:tmpl w:val="58C8EE9F"/>
    <w:lvl w:ilvl="0" w:tentative="0">
      <w:start w:val="1"/>
      <w:numFmt w:val="decimal"/>
      <w:suff w:val="nothing"/>
      <w:lvlText w:val="%1、"/>
      <w:lvlJc w:val="left"/>
    </w:lvl>
  </w:abstractNum>
  <w:abstractNum w:abstractNumId="10">
    <w:nsid w:val="593F80CA"/>
    <w:multiLevelType w:val="singleLevel"/>
    <w:tmpl w:val="593F80CA"/>
    <w:lvl w:ilvl="0" w:tentative="0">
      <w:start w:val="1"/>
      <w:numFmt w:val="decimal"/>
      <w:suff w:val="nothing"/>
      <w:lvlText w:val="%1、"/>
      <w:lvlJc w:val="left"/>
    </w:lvl>
  </w:abstractNum>
  <w:abstractNum w:abstractNumId="11">
    <w:nsid w:val="5948BF5D"/>
    <w:multiLevelType w:val="singleLevel"/>
    <w:tmpl w:val="5948BF5D"/>
    <w:lvl w:ilvl="0" w:tentative="0">
      <w:start w:val="1"/>
      <w:numFmt w:val="decimal"/>
      <w:suff w:val="nothing"/>
      <w:lvlText w:val="%1、"/>
      <w:lvlJc w:val="left"/>
    </w:lvl>
  </w:abstractNum>
  <w:abstractNum w:abstractNumId="12">
    <w:nsid w:val="59B22C1D"/>
    <w:multiLevelType w:val="singleLevel"/>
    <w:tmpl w:val="59B22C1D"/>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11"/>
  </w:num>
  <w:num w:numId="9">
    <w:abstractNumId w:val="5"/>
  </w:num>
  <w:num w:numId="10">
    <w:abstractNumId w:val="6"/>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7520AB"/>
    <w:rsid w:val="00012B4B"/>
    <w:rsid w:val="00026302"/>
    <w:rsid w:val="00046BE0"/>
    <w:rsid w:val="000E0B17"/>
    <w:rsid w:val="000E50FE"/>
    <w:rsid w:val="000F50B7"/>
    <w:rsid w:val="00120ADB"/>
    <w:rsid w:val="0019072B"/>
    <w:rsid w:val="001A1984"/>
    <w:rsid w:val="001E56A7"/>
    <w:rsid w:val="00200767"/>
    <w:rsid w:val="0020374E"/>
    <w:rsid w:val="00211F97"/>
    <w:rsid w:val="002634F1"/>
    <w:rsid w:val="002B5B3A"/>
    <w:rsid w:val="002B6FBB"/>
    <w:rsid w:val="002D6A48"/>
    <w:rsid w:val="00300ED6"/>
    <w:rsid w:val="00394EDC"/>
    <w:rsid w:val="003A4CE7"/>
    <w:rsid w:val="003D1215"/>
    <w:rsid w:val="00443F1E"/>
    <w:rsid w:val="0046287B"/>
    <w:rsid w:val="00495B2E"/>
    <w:rsid w:val="004E3E3D"/>
    <w:rsid w:val="005C063E"/>
    <w:rsid w:val="005F21B5"/>
    <w:rsid w:val="006151C5"/>
    <w:rsid w:val="006160FF"/>
    <w:rsid w:val="00630EE0"/>
    <w:rsid w:val="00633B05"/>
    <w:rsid w:val="00634D3B"/>
    <w:rsid w:val="006400CB"/>
    <w:rsid w:val="00652062"/>
    <w:rsid w:val="0069022D"/>
    <w:rsid w:val="006A036F"/>
    <w:rsid w:val="006C1F99"/>
    <w:rsid w:val="006F7DE3"/>
    <w:rsid w:val="00714E6E"/>
    <w:rsid w:val="00743D7C"/>
    <w:rsid w:val="007C3055"/>
    <w:rsid w:val="00812A9E"/>
    <w:rsid w:val="008537A2"/>
    <w:rsid w:val="00884DE6"/>
    <w:rsid w:val="008E49E3"/>
    <w:rsid w:val="008F1E14"/>
    <w:rsid w:val="00957053"/>
    <w:rsid w:val="00986F75"/>
    <w:rsid w:val="009D6AE4"/>
    <w:rsid w:val="00A0480B"/>
    <w:rsid w:val="00A07769"/>
    <w:rsid w:val="00A40AA4"/>
    <w:rsid w:val="00AA722C"/>
    <w:rsid w:val="00AB76E2"/>
    <w:rsid w:val="00AE742A"/>
    <w:rsid w:val="00AF3370"/>
    <w:rsid w:val="00B360A2"/>
    <w:rsid w:val="00B60F10"/>
    <w:rsid w:val="00B7703B"/>
    <w:rsid w:val="00BD31D5"/>
    <w:rsid w:val="00BE204D"/>
    <w:rsid w:val="00BE22F5"/>
    <w:rsid w:val="00C97702"/>
    <w:rsid w:val="00CB6E28"/>
    <w:rsid w:val="00D157B5"/>
    <w:rsid w:val="00D26F11"/>
    <w:rsid w:val="00D405A3"/>
    <w:rsid w:val="00D428D3"/>
    <w:rsid w:val="00DA6E32"/>
    <w:rsid w:val="00DE0E05"/>
    <w:rsid w:val="00DF07B7"/>
    <w:rsid w:val="00E3384C"/>
    <w:rsid w:val="00E5024C"/>
    <w:rsid w:val="00E6305C"/>
    <w:rsid w:val="00EB067F"/>
    <w:rsid w:val="00EE47B5"/>
    <w:rsid w:val="00EE6966"/>
    <w:rsid w:val="00F40533"/>
    <w:rsid w:val="00F718DD"/>
    <w:rsid w:val="00F96E85"/>
    <w:rsid w:val="00F977A0"/>
    <w:rsid w:val="014F187B"/>
    <w:rsid w:val="016E6121"/>
    <w:rsid w:val="01A01279"/>
    <w:rsid w:val="02046CF3"/>
    <w:rsid w:val="021033F4"/>
    <w:rsid w:val="02120E5F"/>
    <w:rsid w:val="02326352"/>
    <w:rsid w:val="02AA19E4"/>
    <w:rsid w:val="02B143B0"/>
    <w:rsid w:val="02DE4D8E"/>
    <w:rsid w:val="034D6130"/>
    <w:rsid w:val="037C333D"/>
    <w:rsid w:val="03931C7D"/>
    <w:rsid w:val="039963A2"/>
    <w:rsid w:val="040F2E1B"/>
    <w:rsid w:val="041D6984"/>
    <w:rsid w:val="048B7E2A"/>
    <w:rsid w:val="05331BC5"/>
    <w:rsid w:val="055105E7"/>
    <w:rsid w:val="056B5C80"/>
    <w:rsid w:val="05710827"/>
    <w:rsid w:val="059F6E9A"/>
    <w:rsid w:val="05E81B06"/>
    <w:rsid w:val="05EF46E9"/>
    <w:rsid w:val="064121A1"/>
    <w:rsid w:val="06553AF2"/>
    <w:rsid w:val="06625824"/>
    <w:rsid w:val="068A0599"/>
    <w:rsid w:val="068B174A"/>
    <w:rsid w:val="06923C6E"/>
    <w:rsid w:val="06D71A9E"/>
    <w:rsid w:val="074B5D24"/>
    <w:rsid w:val="076F4D55"/>
    <w:rsid w:val="077F4958"/>
    <w:rsid w:val="07DD49C8"/>
    <w:rsid w:val="081A710F"/>
    <w:rsid w:val="084B61FD"/>
    <w:rsid w:val="08783258"/>
    <w:rsid w:val="08AB0640"/>
    <w:rsid w:val="08AD7069"/>
    <w:rsid w:val="092227F1"/>
    <w:rsid w:val="093B51E5"/>
    <w:rsid w:val="0951714B"/>
    <w:rsid w:val="096405F3"/>
    <w:rsid w:val="09823070"/>
    <w:rsid w:val="09B3204F"/>
    <w:rsid w:val="0A573325"/>
    <w:rsid w:val="0A747C2F"/>
    <w:rsid w:val="0A8E35AB"/>
    <w:rsid w:val="0A9006E4"/>
    <w:rsid w:val="0AD06DD1"/>
    <w:rsid w:val="0AF81AA1"/>
    <w:rsid w:val="0AFB7ED0"/>
    <w:rsid w:val="0B0012AA"/>
    <w:rsid w:val="0B266CCA"/>
    <w:rsid w:val="0B5A2142"/>
    <w:rsid w:val="0C276F6D"/>
    <w:rsid w:val="0C5B46EC"/>
    <w:rsid w:val="0C715815"/>
    <w:rsid w:val="0CD91C3C"/>
    <w:rsid w:val="0D04143F"/>
    <w:rsid w:val="0D7C1CD7"/>
    <w:rsid w:val="0D833A74"/>
    <w:rsid w:val="0E490AF8"/>
    <w:rsid w:val="0E494193"/>
    <w:rsid w:val="0E4E2078"/>
    <w:rsid w:val="0EE95340"/>
    <w:rsid w:val="0F11743A"/>
    <w:rsid w:val="0F1405E8"/>
    <w:rsid w:val="0F6811AA"/>
    <w:rsid w:val="0F7B40AC"/>
    <w:rsid w:val="0F887001"/>
    <w:rsid w:val="0FE74C46"/>
    <w:rsid w:val="101966FD"/>
    <w:rsid w:val="102918D7"/>
    <w:rsid w:val="102A0360"/>
    <w:rsid w:val="10475132"/>
    <w:rsid w:val="10DC6ABD"/>
    <w:rsid w:val="110D1BC2"/>
    <w:rsid w:val="11334660"/>
    <w:rsid w:val="11703121"/>
    <w:rsid w:val="120F0700"/>
    <w:rsid w:val="121E1314"/>
    <w:rsid w:val="12AF7ABC"/>
    <w:rsid w:val="12F56E5B"/>
    <w:rsid w:val="13327449"/>
    <w:rsid w:val="13966E06"/>
    <w:rsid w:val="13A71302"/>
    <w:rsid w:val="13B15641"/>
    <w:rsid w:val="13F14532"/>
    <w:rsid w:val="13F3085F"/>
    <w:rsid w:val="143046CB"/>
    <w:rsid w:val="14321DC3"/>
    <w:rsid w:val="14AE559E"/>
    <w:rsid w:val="14B450F0"/>
    <w:rsid w:val="14D201A3"/>
    <w:rsid w:val="153877BE"/>
    <w:rsid w:val="1565260A"/>
    <w:rsid w:val="1581692C"/>
    <w:rsid w:val="16077951"/>
    <w:rsid w:val="17643D85"/>
    <w:rsid w:val="178023B4"/>
    <w:rsid w:val="17B7276D"/>
    <w:rsid w:val="17DB1ED6"/>
    <w:rsid w:val="17FA06D2"/>
    <w:rsid w:val="181841FE"/>
    <w:rsid w:val="1870430C"/>
    <w:rsid w:val="18C26F6E"/>
    <w:rsid w:val="18DB46CD"/>
    <w:rsid w:val="18DF04F5"/>
    <w:rsid w:val="19545ED2"/>
    <w:rsid w:val="196F7AA8"/>
    <w:rsid w:val="19A81FA6"/>
    <w:rsid w:val="19F51DD2"/>
    <w:rsid w:val="1A4B53C4"/>
    <w:rsid w:val="1A586A25"/>
    <w:rsid w:val="1AA15757"/>
    <w:rsid w:val="1AA542A4"/>
    <w:rsid w:val="1ABF1E22"/>
    <w:rsid w:val="1B0F130B"/>
    <w:rsid w:val="1B327B6E"/>
    <w:rsid w:val="1B3B1293"/>
    <w:rsid w:val="1B4D7867"/>
    <w:rsid w:val="1C2570B3"/>
    <w:rsid w:val="1C335255"/>
    <w:rsid w:val="1C3E1836"/>
    <w:rsid w:val="1CBA1128"/>
    <w:rsid w:val="1CE05392"/>
    <w:rsid w:val="1DBB2067"/>
    <w:rsid w:val="1E235D71"/>
    <w:rsid w:val="1E6B5DE3"/>
    <w:rsid w:val="1E8B449B"/>
    <w:rsid w:val="1E94732E"/>
    <w:rsid w:val="1F4F4959"/>
    <w:rsid w:val="1F6A1A1D"/>
    <w:rsid w:val="1F6F2D80"/>
    <w:rsid w:val="1F85747E"/>
    <w:rsid w:val="1F9D3277"/>
    <w:rsid w:val="1FAD677E"/>
    <w:rsid w:val="208365B9"/>
    <w:rsid w:val="20CC34E7"/>
    <w:rsid w:val="211228D8"/>
    <w:rsid w:val="21356CD2"/>
    <w:rsid w:val="216743F0"/>
    <w:rsid w:val="21AD5EC8"/>
    <w:rsid w:val="21BF6A54"/>
    <w:rsid w:val="21E90A0A"/>
    <w:rsid w:val="22085E5A"/>
    <w:rsid w:val="220F0FD7"/>
    <w:rsid w:val="221164AD"/>
    <w:rsid w:val="22137BDE"/>
    <w:rsid w:val="22411FBF"/>
    <w:rsid w:val="22AC5178"/>
    <w:rsid w:val="23045E91"/>
    <w:rsid w:val="23981984"/>
    <w:rsid w:val="240D37B3"/>
    <w:rsid w:val="241848D8"/>
    <w:rsid w:val="24BB6766"/>
    <w:rsid w:val="251C5B5D"/>
    <w:rsid w:val="251E2753"/>
    <w:rsid w:val="254022DF"/>
    <w:rsid w:val="25773C34"/>
    <w:rsid w:val="25E06F0C"/>
    <w:rsid w:val="25E143C4"/>
    <w:rsid w:val="2610005C"/>
    <w:rsid w:val="26490295"/>
    <w:rsid w:val="269631DE"/>
    <w:rsid w:val="26BD3774"/>
    <w:rsid w:val="277006A0"/>
    <w:rsid w:val="27A52AB6"/>
    <w:rsid w:val="27A64D8A"/>
    <w:rsid w:val="28277FEF"/>
    <w:rsid w:val="282B6FBE"/>
    <w:rsid w:val="283D67B1"/>
    <w:rsid w:val="28666339"/>
    <w:rsid w:val="287F006B"/>
    <w:rsid w:val="29075351"/>
    <w:rsid w:val="295D58FA"/>
    <w:rsid w:val="29730F19"/>
    <w:rsid w:val="29D60646"/>
    <w:rsid w:val="29E53A83"/>
    <w:rsid w:val="2A350F36"/>
    <w:rsid w:val="2A6E215B"/>
    <w:rsid w:val="2A7200B5"/>
    <w:rsid w:val="2AC1448A"/>
    <w:rsid w:val="2AE2710E"/>
    <w:rsid w:val="2AF823B5"/>
    <w:rsid w:val="2B05782E"/>
    <w:rsid w:val="2B6A2BF0"/>
    <w:rsid w:val="2BE176F5"/>
    <w:rsid w:val="2BFE065F"/>
    <w:rsid w:val="2C4F3181"/>
    <w:rsid w:val="2C523444"/>
    <w:rsid w:val="2C8156D9"/>
    <w:rsid w:val="2C8C4892"/>
    <w:rsid w:val="2C9E76DB"/>
    <w:rsid w:val="2CAD0D45"/>
    <w:rsid w:val="2CBF20AA"/>
    <w:rsid w:val="2CEB2ABF"/>
    <w:rsid w:val="2E265590"/>
    <w:rsid w:val="2E2A5A12"/>
    <w:rsid w:val="2E3612A5"/>
    <w:rsid w:val="2E711732"/>
    <w:rsid w:val="2EC03840"/>
    <w:rsid w:val="2ECC6819"/>
    <w:rsid w:val="2EF179B9"/>
    <w:rsid w:val="2F7F3ABF"/>
    <w:rsid w:val="2FBD5C0E"/>
    <w:rsid w:val="2FBE3FFD"/>
    <w:rsid w:val="3073355E"/>
    <w:rsid w:val="309B4D6B"/>
    <w:rsid w:val="30F84A4C"/>
    <w:rsid w:val="30FC48E6"/>
    <w:rsid w:val="310D1E6F"/>
    <w:rsid w:val="31376CC2"/>
    <w:rsid w:val="316F4190"/>
    <w:rsid w:val="3212304A"/>
    <w:rsid w:val="322B7D4A"/>
    <w:rsid w:val="32426238"/>
    <w:rsid w:val="32737289"/>
    <w:rsid w:val="32DF0BF0"/>
    <w:rsid w:val="32EB3C88"/>
    <w:rsid w:val="32EE6F39"/>
    <w:rsid w:val="333E5D5F"/>
    <w:rsid w:val="339E0573"/>
    <w:rsid w:val="33A80954"/>
    <w:rsid w:val="33E20A0C"/>
    <w:rsid w:val="34A0457A"/>
    <w:rsid w:val="34A4178F"/>
    <w:rsid w:val="34D9013A"/>
    <w:rsid w:val="352A68FA"/>
    <w:rsid w:val="3546552F"/>
    <w:rsid w:val="354D0574"/>
    <w:rsid w:val="358E3FF9"/>
    <w:rsid w:val="366450A1"/>
    <w:rsid w:val="36746B89"/>
    <w:rsid w:val="37317BEA"/>
    <w:rsid w:val="37880B8B"/>
    <w:rsid w:val="379B4B2F"/>
    <w:rsid w:val="37EB58E7"/>
    <w:rsid w:val="37EC00C6"/>
    <w:rsid w:val="37EF3B48"/>
    <w:rsid w:val="380020CC"/>
    <w:rsid w:val="380F468B"/>
    <w:rsid w:val="381E7644"/>
    <w:rsid w:val="38475DF6"/>
    <w:rsid w:val="38622A35"/>
    <w:rsid w:val="3895667F"/>
    <w:rsid w:val="38F36732"/>
    <w:rsid w:val="394D148C"/>
    <w:rsid w:val="395D3708"/>
    <w:rsid w:val="39C77BCC"/>
    <w:rsid w:val="3ADC5D39"/>
    <w:rsid w:val="3B197DF5"/>
    <w:rsid w:val="3B1F65A5"/>
    <w:rsid w:val="3B9705EC"/>
    <w:rsid w:val="3C477D30"/>
    <w:rsid w:val="3C933554"/>
    <w:rsid w:val="3CBA38DF"/>
    <w:rsid w:val="3CE5241B"/>
    <w:rsid w:val="3CF10F48"/>
    <w:rsid w:val="3CFD16B4"/>
    <w:rsid w:val="3D1B4253"/>
    <w:rsid w:val="3D305257"/>
    <w:rsid w:val="3D963B0E"/>
    <w:rsid w:val="3DDA6D59"/>
    <w:rsid w:val="3E337BA8"/>
    <w:rsid w:val="3E4E471A"/>
    <w:rsid w:val="3F432E1A"/>
    <w:rsid w:val="3F631733"/>
    <w:rsid w:val="3FD07780"/>
    <w:rsid w:val="402620EF"/>
    <w:rsid w:val="40943BB8"/>
    <w:rsid w:val="40B523CF"/>
    <w:rsid w:val="40CC73BF"/>
    <w:rsid w:val="41026B60"/>
    <w:rsid w:val="41595994"/>
    <w:rsid w:val="41910A32"/>
    <w:rsid w:val="422264C1"/>
    <w:rsid w:val="42746543"/>
    <w:rsid w:val="42B5005D"/>
    <w:rsid w:val="42B807B4"/>
    <w:rsid w:val="42DB6EC6"/>
    <w:rsid w:val="42EC6463"/>
    <w:rsid w:val="430E5E5E"/>
    <w:rsid w:val="43ED4959"/>
    <w:rsid w:val="44285E8B"/>
    <w:rsid w:val="443450C8"/>
    <w:rsid w:val="44520E9C"/>
    <w:rsid w:val="445D69BC"/>
    <w:rsid w:val="449769D4"/>
    <w:rsid w:val="45083767"/>
    <w:rsid w:val="452174BD"/>
    <w:rsid w:val="456E1161"/>
    <w:rsid w:val="458312DE"/>
    <w:rsid w:val="4599073F"/>
    <w:rsid w:val="46507788"/>
    <w:rsid w:val="46705EAD"/>
    <w:rsid w:val="4697323D"/>
    <w:rsid w:val="46D10EA9"/>
    <w:rsid w:val="46EB7280"/>
    <w:rsid w:val="471F4007"/>
    <w:rsid w:val="476707F4"/>
    <w:rsid w:val="478143CD"/>
    <w:rsid w:val="489C6257"/>
    <w:rsid w:val="48BA4122"/>
    <w:rsid w:val="48C663E8"/>
    <w:rsid w:val="48D10626"/>
    <w:rsid w:val="48DC3DA1"/>
    <w:rsid w:val="48FE0605"/>
    <w:rsid w:val="49C74646"/>
    <w:rsid w:val="49CB04D8"/>
    <w:rsid w:val="4A047C6A"/>
    <w:rsid w:val="4A510A99"/>
    <w:rsid w:val="4AA41890"/>
    <w:rsid w:val="4AB13503"/>
    <w:rsid w:val="4AB87C8A"/>
    <w:rsid w:val="4ACA5302"/>
    <w:rsid w:val="4AD16AED"/>
    <w:rsid w:val="4AFA76A5"/>
    <w:rsid w:val="4B0D0F07"/>
    <w:rsid w:val="4B223FEB"/>
    <w:rsid w:val="4B281750"/>
    <w:rsid w:val="4B97628B"/>
    <w:rsid w:val="4C0B5167"/>
    <w:rsid w:val="4C2F2204"/>
    <w:rsid w:val="4C6F4203"/>
    <w:rsid w:val="4C7615EF"/>
    <w:rsid w:val="4D027D93"/>
    <w:rsid w:val="4D3B776F"/>
    <w:rsid w:val="4D5322AE"/>
    <w:rsid w:val="4D6F1F28"/>
    <w:rsid w:val="4DF102AE"/>
    <w:rsid w:val="4E126094"/>
    <w:rsid w:val="4E2F21C1"/>
    <w:rsid w:val="4E364988"/>
    <w:rsid w:val="4E664FC0"/>
    <w:rsid w:val="4E814FE4"/>
    <w:rsid w:val="4EA624D9"/>
    <w:rsid w:val="4EAD01BA"/>
    <w:rsid w:val="4EDF6F0A"/>
    <w:rsid w:val="4EEE51B2"/>
    <w:rsid w:val="4F564668"/>
    <w:rsid w:val="4FA63B9A"/>
    <w:rsid w:val="4FC70B09"/>
    <w:rsid w:val="4FF912F0"/>
    <w:rsid w:val="50697399"/>
    <w:rsid w:val="50A1012A"/>
    <w:rsid w:val="50B161D0"/>
    <w:rsid w:val="50E832D4"/>
    <w:rsid w:val="511B4F3C"/>
    <w:rsid w:val="516C182B"/>
    <w:rsid w:val="51991BDA"/>
    <w:rsid w:val="51B944FE"/>
    <w:rsid w:val="51C20811"/>
    <w:rsid w:val="51F41E8A"/>
    <w:rsid w:val="524A1D42"/>
    <w:rsid w:val="52563209"/>
    <w:rsid w:val="5257295F"/>
    <w:rsid w:val="52977D36"/>
    <w:rsid w:val="529E2F5D"/>
    <w:rsid w:val="52C5591F"/>
    <w:rsid w:val="536B309C"/>
    <w:rsid w:val="53815078"/>
    <w:rsid w:val="53A52893"/>
    <w:rsid w:val="53BE76A8"/>
    <w:rsid w:val="53C2605A"/>
    <w:rsid w:val="53CF6F66"/>
    <w:rsid w:val="53F73DC4"/>
    <w:rsid w:val="556C7BFA"/>
    <w:rsid w:val="55AC1B04"/>
    <w:rsid w:val="55BD51F8"/>
    <w:rsid w:val="56323652"/>
    <w:rsid w:val="56675CF7"/>
    <w:rsid w:val="56730DA3"/>
    <w:rsid w:val="570423C4"/>
    <w:rsid w:val="584C1E3B"/>
    <w:rsid w:val="588B7CFB"/>
    <w:rsid w:val="58B66D5D"/>
    <w:rsid w:val="58C73EEB"/>
    <w:rsid w:val="58D33FAC"/>
    <w:rsid w:val="58DE0A78"/>
    <w:rsid w:val="59333B67"/>
    <w:rsid w:val="59392403"/>
    <w:rsid w:val="595456DF"/>
    <w:rsid w:val="5A0D6A68"/>
    <w:rsid w:val="5A1D7486"/>
    <w:rsid w:val="5A4402AF"/>
    <w:rsid w:val="5A466D3B"/>
    <w:rsid w:val="5A8A67A4"/>
    <w:rsid w:val="5AE14438"/>
    <w:rsid w:val="5B887DEE"/>
    <w:rsid w:val="5C124A6A"/>
    <w:rsid w:val="5C47778C"/>
    <w:rsid w:val="5C5538E4"/>
    <w:rsid w:val="5C9A693F"/>
    <w:rsid w:val="5CAA7444"/>
    <w:rsid w:val="5D316CEA"/>
    <w:rsid w:val="5D4E62FE"/>
    <w:rsid w:val="5D623A14"/>
    <w:rsid w:val="5DFD5AE5"/>
    <w:rsid w:val="5EAE51BA"/>
    <w:rsid w:val="5EDA21A0"/>
    <w:rsid w:val="5EE37B5A"/>
    <w:rsid w:val="5F20158A"/>
    <w:rsid w:val="5F8279D2"/>
    <w:rsid w:val="5F8E57FD"/>
    <w:rsid w:val="5F9D4029"/>
    <w:rsid w:val="5FEA66DE"/>
    <w:rsid w:val="600B6699"/>
    <w:rsid w:val="60503862"/>
    <w:rsid w:val="60AB2629"/>
    <w:rsid w:val="60BC17AF"/>
    <w:rsid w:val="60DC5EF2"/>
    <w:rsid w:val="6115030A"/>
    <w:rsid w:val="617610A9"/>
    <w:rsid w:val="61E823D5"/>
    <w:rsid w:val="61F04D3F"/>
    <w:rsid w:val="61F62BC4"/>
    <w:rsid w:val="625B05DF"/>
    <w:rsid w:val="628B715F"/>
    <w:rsid w:val="629B6169"/>
    <w:rsid w:val="62A7357C"/>
    <w:rsid w:val="63582EE9"/>
    <w:rsid w:val="638E54FE"/>
    <w:rsid w:val="63A62787"/>
    <w:rsid w:val="63E74CD8"/>
    <w:rsid w:val="63E91957"/>
    <w:rsid w:val="643050D3"/>
    <w:rsid w:val="64D843D1"/>
    <w:rsid w:val="64DD01BD"/>
    <w:rsid w:val="65471DD4"/>
    <w:rsid w:val="662039BA"/>
    <w:rsid w:val="664A1CAC"/>
    <w:rsid w:val="666A691A"/>
    <w:rsid w:val="66C85DC8"/>
    <w:rsid w:val="66CD436F"/>
    <w:rsid w:val="67440AF1"/>
    <w:rsid w:val="67C97D0F"/>
    <w:rsid w:val="682A74F0"/>
    <w:rsid w:val="68453569"/>
    <w:rsid w:val="684B3256"/>
    <w:rsid w:val="68CC2E74"/>
    <w:rsid w:val="68E87DF0"/>
    <w:rsid w:val="69037901"/>
    <w:rsid w:val="69051F7D"/>
    <w:rsid w:val="697846AE"/>
    <w:rsid w:val="69B15136"/>
    <w:rsid w:val="6A255A97"/>
    <w:rsid w:val="6A2C2B71"/>
    <w:rsid w:val="6A6116DA"/>
    <w:rsid w:val="6A736ED7"/>
    <w:rsid w:val="6A802A1E"/>
    <w:rsid w:val="6B0B64B2"/>
    <w:rsid w:val="6B1704DA"/>
    <w:rsid w:val="6B454C8E"/>
    <w:rsid w:val="6B620456"/>
    <w:rsid w:val="6BAE3892"/>
    <w:rsid w:val="6BB760E1"/>
    <w:rsid w:val="6CB766DE"/>
    <w:rsid w:val="6CED30EE"/>
    <w:rsid w:val="6CF06DFA"/>
    <w:rsid w:val="6D316F99"/>
    <w:rsid w:val="6D505BC3"/>
    <w:rsid w:val="6E18523E"/>
    <w:rsid w:val="6E8E24FD"/>
    <w:rsid w:val="6EC018E6"/>
    <w:rsid w:val="6EE72836"/>
    <w:rsid w:val="6F4425D2"/>
    <w:rsid w:val="6FFF3CCB"/>
    <w:rsid w:val="70505972"/>
    <w:rsid w:val="70E03F82"/>
    <w:rsid w:val="70EF4889"/>
    <w:rsid w:val="70FE767A"/>
    <w:rsid w:val="714A65BC"/>
    <w:rsid w:val="715A24CC"/>
    <w:rsid w:val="718A6D91"/>
    <w:rsid w:val="71B54BEB"/>
    <w:rsid w:val="72036233"/>
    <w:rsid w:val="72337FAC"/>
    <w:rsid w:val="726A52AE"/>
    <w:rsid w:val="728B02D8"/>
    <w:rsid w:val="72BB41C2"/>
    <w:rsid w:val="73326814"/>
    <w:rsid w:val="737520AB"/>
    <w:rsid w:val="738937A7"/>
    <w:rsid w:val="742F5F54"/>
    <w:rsid w:val="756D418C"/>
    <w:rsid w:val="7584711A"/>
    <w:rsid w:val="75981C81"/>
    <w:rsid w:val="759B72EB"/>
    <w:rsid w:val="75AD1137"/>
    <w:rsid w:val="75C96287"/>
    <w:rsid w:val="76122F65"/>
    <w:rsid w:val="76CF759B"/>
    <w:rsid w:val="77007E1F"/>
    <w:rsid w:val="77206CBB"/>
    <w:rsid w:val="77AA6B36"/>
    <w:rsid w:val="77C805F2"/>
    <w:rsid w:val="78540F7A"/>
    <w:rsid w:val="7868505F"/>
    <w:rsid w:val="78700BD5"/>
    <w:rsid w:val="787144BB"/>
    <w:rsid w:val="78960C16"/>
    <w:rsid w:val="78D86F98"/>
    <w:rsid w:val="78EA7BDD"/>
    <w:rsid w:val="78EB1D3F"/>
    <w:rsid w:val="79090518"/>
    <w:rsid w:val="794A7E5A"/>
    <w:rsid w:val="794B5517"/>
    <w:rsid w:val="79624D58"/>
    <w:rsid w:val="797055E7"/>
    <w:rsid w:val="79722B3A"/>
    <w:rsid w:val="79744854"/>
    <w:rsid w:val="79814C33"/>
    <w:rsid w:val="79B7445B"/>
    <w:rsid w:val="79D94642"/>
    <w:rsid w:val="7A565993"/>
    <w:rsid w:val="7A8C6BF2"/>
    <w:rsid w:val="7A8E672D"/>
    <w:rsid w:val="7A911383"/>
    <w:rsid w:val="7A9B4AD0"/>
    <w:rsid w:val="7AB548FD"/>
    <w:rsid w:val="7AEF6329"/>
    <w:rsid w:val="7B1567DF"/>
    <w:rsid w:val="7B3D132C"/>
    <w:rsid w:val="7BDF16E7"/>
    <w:rsid w:val="7CC0424C"/>
    <w:rsid w:val="7CF93F6D"/>
    <w:rsid w:val="7CFA647A"/>
    <w:rsid w:val="7D050D29"/>
    <w:rsid w:val="7D14275D"/>
    <w:rsid w:val="7D277C61"/>
    <w:rsid w:val="7D706881"/>
    <w:rsid w:val="7DA563BB"/>
    <w:rsid w:val="7DBD5B6D"/>
    <w:rsid w:val="7E1C560B"/>
    <w:rsid w:val="7E457F7F"/>
    <w:rsid w:val="7ED65377"/>
    <w:rsid w:val="7EF76DF9"/>
    <w:rsid w:val="7F7264F3"/>
    <w:rsid w:val="7F921458"/>
    <w:rsid w:val="7FBD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style>
  <w:style w:type="character" w:styleId="7">
    <w:name w:val="HTML Typewriter"/>
    <w:basedOn w:val="5"/>
    <w:qFormat/>
    <w:uiPriority w:val="0"/>
    <w:rPr>
      <w:rFonts w:ascii="Courier New" w:hAnsi="Courier New"/>
      <w:sz w:val="20"/>
    </w:rPr>
  </w:style>
  <w:style w:type="character" w:styleId="8">
    <w:name w:val="Hyperlink"/>
    <w:basedOn w:val="5"/>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5"/>
    <w:link w:val="4"/>
    <w:qFormat/>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0"/>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上海海事大学</Company>
  <Pages>10</Pages>
  <Words>960</Words>
  <Characters>5473</Characters>
  <Lines>45</Lines>
  <Paragraphs>12</Paragraphs>
  <TotalTime>25</TotalTime>
  <ScaleCrop>false</ScaleCrop>
  <LinksUpToDate>false</LinksUpToDate>
  <CharactersWithSpaces>6421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2017-01-05T01:08:00Z</dcterms:created>
  <dc:creator>admin</dc:creator>
  <cp:lastModifiedBy>admin</cp:lastModifiedBy>
  <cp:lastPrinted>2017-09-06T03:01:00Z</cp:lastPrinted>
  <dcterms:modified xsi:type="dcterms:W3CDTF">2018-09-10T00:46:47Z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